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03B1F" w14:textId="440AC724" w:rsidR="0078523F" w:rsidRDefault="00FB63E6" w:rsidP="00FB63E6">
      <w:pPr>
        <w:pStyle w:val="Titel"/>
        <w:rPr>
          <w:i/>
          <w:iCs/>
        </w:rPr>
      </w:pPr>
      <w:r>
        <w:t xml:space="preserve">Samenwerkingsovereenkomst Rekenkamer </w:t>
      </w:r>
      <w:r w:rsidRPr="003E313E">
        <w:rPr>
          <w:i/>
          <w:iCs/>
          <w:highlight w:val="yellow"/>
        </w:rPr>
        <w:t>[NAAM INVULLEN]</w:t>
      </w:r>
    </w:p>
    <w:p w14:paraId="21D3736D" w14:textId="77777777" w:rsidR="00FB63E6" w:rsidRDefault="00FB63E6" w:rsidP="00FB63E6"/>
    <w:p w14:paraId="4141FC7F" w14:textId="77777777" w:rsidR="00FB63E6" w:rsidRDefault="00FB63E6" w:rsidP="00FB63E6"/>
    <w:p w14:paraId="2B7A854D" w14:textId="63C9A767" w:rsidR="00FB63E6" w:rsidRDefault="00FB63E6" w:rsidP="00FB63E6">
      <w:r>
        <w:t xml:space="preserve">De </w:t>
      </w:r>
      <w:r w:rsidR="004F102A" w:rsidRPr="00FF72E2">
        <w:rPr>
          <w:b/>
          <w:bCs/>
        </w:rPr>
        <w:t>G</w:t>
      </w:r>
      <w:r w:rsidRPr="00FF72E2">
        <w:rPr>
          <w:b/>
          <w:bCs/>
        </w:rPr>
        <w:t xml:space="preserve">emeente </w:t>
      </w:r>
      <w:r w:rsidRPr="003E313E">
        <w:rPr>
          <w:b/>
          <w:bCs/>
          <w:i/>
          <w:iCs/>
          <w:highlight w:val="yellow"/>
        </w:rPr>
        <w:t>[NAAM INVULLEN]</w:t>
      </w:r>
      <w:r>
        <w:t xml:space="preserve">, te deze rechtsgeldig vertegenwoordigd door de burgemeester, </w:t>
      </w:r>
      <w:r w:rsidRPr="003E313E">
        <w:rPr>
          <w:i/>
          <w:iCs/>
          <w:highlight w:val="yellow"/>
        </w:rPr>
        <w:t>de heer of mevrouw [NAAM INVULLEN]</w:t>
      </w:r>
      <w:r>
        <w:t xml:space="preserve">, handelende ter uitvoering van het besluit van de gemeenteraad van </w:t>
      </w:r>
      <w:r w:rsidRPr="003E313E">
        <w:rPr>
          <w:i/>
          <w:iCs/>
          <w:highlight w:val="yellow"/>
        </w:rPr>
        <w:t>[DATUM INVULLEN]</w:t>
      </w:r>
      <w:r>
        <w:t xml:space="preserve"> en van het besluit van het college van burgemeester en wethouders van </w:t>
      </w:r>
      <w:r w:rsidRPr="003E313E">
        <w:rPr>
          <w:i/>
          <w:iCs/>
          <w:highlight w:val="yellow"/>
        </w:rPr>
        <w:t>[DATUM INVULLEN]</w:t>
      </w:r>
      <w:r>
        <w:t>;</w:t>
      </w:r>
    </w:p>
    <w:p w14:paraId="10CE51F8" w14:textId="7DBD8C83" w:rsidR="00FB63E6" w:rsidRDefault="00AD5702" w:rsidP="00FB63E6">
      <w:r>
        <w:t xml:space="preserve">De </w:t>
      </w:r>
      <w:r w:rsidR="004F102A" w:rsidRPr="00FF72E2">
        <w:rPr>
          <w:b/>
          <w:bCs/>
        </w:rPr>
        <w:t>P</w:t>
      </w:r>
      <w:r w:rsidRPr="00FF72E2">
        <w:rPr>
          <w:b/>
          <w:bCs/>
        </w:rPr>
        <w:t xml:space="preserve">rovincie </w:t>
      </w:r>
      <w:r w:rsidRPr="003E313E">
        <w:rPr>
          <w:b/>
          <w:bCs/>
          <w:i/>
          <w:iCs/>
          <w:highlight w:val="yellow"/>
        </w:rPr>
        <w:t>[NAAM INVULLEN]</w:t>
      </w:r>
      <w:r>
        <w:t xml:space="preserve">, te deze rechtsgeldig vertegenwoordigd door de commissaris van de Koning, </w:t>
      </w:r>
      <w:r w:rsidRPr="003E313E">
        <w:rPr>
          <w:i/>
          <w:iCs/>
          <w:highlight w:val="yellow"/>
        </w:rPr>
        <w:t>de heer of mevrouw [NAAM INVULLEN]</w:t>
      </w:r>
      <w:r>
        <w:t xml:space="preserve">, handelende ter uitvoering van het besluit van de provinciale staten van </w:t>
      </w:r>
      <w:r w:rsidRPr="003E313E">
        <w:rPr>
          <w:i/>
          <w:iCs/>
          <w:highlight w:val="yellow"/>
        </w:rPr>
        <w:t>[DATUM INVULLEN]</w:t>
      </w:r>
      <w:r>
        <w:t xml:space="preserve"> en van het besluit van gedeputeerde staten van </w:t>
      </w:r>
      <w:r w:rsidRPr="003E313E">
        <w:rPr>
          <w:i/>
          <w:iCs/>
          <w:highlight w:val="yellow"/>
        </w:rPr>
        <w:t>[DATUM INVULLEN]</w:t>
      </w:r>
      <w:r>
        <w:t>;</w:t>
      </w:r>
    </w:p>
    <w:p w14:paraId="7B57E73A" w14:textId="4A5CD0F5" w:rsidR="00FB63E6" w:rsidRDefault="00AD5702" w:rsidP="00FB63E6">
      <w:r>
        <w:t xml:space="preserve">Het </w:t>
      </w:r>
      <w:r w:rsidRPr="00FF72E2">
        <w:rPr>
          <w:b/>
          <w:bCs/>
        </w:rPr>
        <w:t xml:space="preserve">Waterschap </w:t>
      </w:r>
      <w:r w:rsidRPr="003E313E">
        <w:rPr>
          <w:b/>
          <w:bCs/>
          <w:i/>
          <w:iCs/>
          <w:highlight w:val="yellow"/>
        </w:rPr>
        <w:t>[NAAM INVULLEN]</w:t>
      </w:r>
      <w:r>
        <w:t xml:space="preserve">, te deze rechtsgeldig vertegenwoordigd door de </w:t>
      </w:r>
      <w:r w:rsidR="009536F8">
        <w:t>voorzitter</w:t>
      </w:r>
      <w:r>
        <w:t xml:space="preserve">, </w:t>
      </w:r>
      <w:r w:rsidRPr="003E313E">
        <w:rPr>
          <w:i/>
          <w:iCs/>
          <w:highlight w:val="yellow"/>
        </w:rPr>
        <w:t>de heer of mevrouw [NAAM INVULLEN]</w:t>
      </w:r>
      <w:r>
        <w:t xml:space="preserve">, handelende ter uitvoering van het besluit van </w:t>
      </w:r>
      <w:r w:rsidR="009536F8">
        <w:t xml:space="preserve">het algemeen bestuur </w:t>
      </w:r>
      <w:r>
        <w:t xml:space="preserve">van </w:t>
      </w:r>
      <w:r w:rsidRPr="003E313E">
        <w:rPr>
          <w:i/>
          <w:iCs/>
          <w:highlight w:val="yellow"/>
        </w:rPr>
        <w:t>[DATUM INVULLEN]</w:t>
      </w:r>
      <w:r>
        <w:t>;</w:t>
      </w:r>
    </w:p>
    <w:p w14:paraId="24A8F395" w14:textId="77777777" w:rsidR="00D300D9" w:rsidRDefault="00D300D9" w:rsidP="00FB63E6"/>
    <w:p w14:paraId="7F0A51F1" w14:textId="06BE80D6" w:rsidR="00D300D9" w:rsidRDefault="001A6E2C" w:rsidP="00FB63E6">
      <w:pPr>
        <w:rPr>
          <w:b/>
          <w:bCs/>
        </w:rPr>
      </w:pPr>
      <w:r>
        <w:rPr>
          <w:b/>
          <w:bCs/>
          <w:i/>
          <w:iCs/>
        </w:rPr>
        <w:t>Overwegende dat</w:t>
      </w:r>
    </w:p>
    <w:p w14:paraId="2F71157B" w14:textId="5A3854A3" w:rsidR="00DF1A8E" w:rsidRDefault="00DF1A8E" w:rsidP="00FB63E6">
      <w:r>
        <w:t xml:space="preserve">De gemeenteraden overeenkomstig artikel 81a </w:t>
      </w:r>
      <w:r w:rsidR="00213C96">
        <w:t>Gemeentewet</w:t>
      </w:r>
      <w:r w:rsidR="003E313E">
        <w:t>, provinciale staten overeenkomstig artikel 79a Provinciewet en de algemene besturen van de waterschappen overeenkomstig artikel 51aa Waterschapswet</w:t>
      </w:r>
      <w:r w:rsidR="00213C96">
        <w:t xml:space="preserve"> </w:t>
      </w:r>
      <w:r>
        <w:t xml:space="preserve">een </w:t>
      </w:r>
      <w:r w:rsidR="00213C96">
        <w:t>rekenkamer moeten instellen;</w:t>
      </w:r>
    </w:p>
    <w:p w14:paraId="73718D58" w14:textId="0EE3A520" w:rsidR="001A6E2C" w:rsidRDefault="001A6E2C" w:rsidP="00FB63E6">
      <w:r>
        <w:t>De gemeenter</w:t>
      </w:r>
      <w:r w:rsidR="007A5B30">
        <w:t>aden</w:t>
      </w:r>
      <w:r w:rsidR="003E313E">
        <w:t>/provinciale staten/algemene besturen</w:t>
      </w:r>
      <w:r w:rsidR="007A5B30">
        <w:t xml:space="preserve"> middels </w:t>
      </w:r>
      <w:r w:rsidR="00281E5A">
        <w:t xml:space="preserve">het vaststellen van de Verordening Rekenkamer </w:t>
      </w:r>
      <w:r w:rsidR="00281E5A" w:rsidRPr="00EF07FD">
        <w:rPr>
          <w:i/>
          <w:iCs/>
          <w:highlight w:val="yellow"/>
        </w:rPr>
        <w:t>[NAAM INVULLEN</w:t>
      </w:r>
      <w:r w:rsidR="005655F6" w:rsidRPr="00EF07FD">
        <w:rPr>
          <w:highlight w:val="yellow"/>
        </w:rPr>
        <w:t>]</w:t>
      </w:r>
      <w:r w:rsidR="00213C96">
        <w:t xml:space="preserve"> een rekenkamer hebben ingesteld;</w:t>
      </w:r>
    </w:p>
    <w:p w14:paraId="0882E145" w14:textId="6B51F5A2" w:rsidR="00BB6745" w:rsidRDefault="00BB6745" w:rsidP="00FB63E6">
      <w:r w:rsidRPr="003E313E">
        <w:rPr>
          <w:highlight w:val="yellow"/>
        </w:rPr>
        <w:t xml:space="preserve">[…] </w:t>
      </w:r>
      <w:r w:rsidRPr="003E313E">
        <w:rPr>
          <w:i/>
          <w:iCs/>
          <w:highlight w:val="yellow"/>
        </w:rPr>
        <w:t>Hier kunnen eigen overwegingen/uitgangspunten worden toegevoegd indien gewenst</w:t>
      </w:r>
    </w:p>
    <w:p w14:paraId="0258CDDA" w14:textId="77777777" w:rsidR="003E313E" w:rsidRDefault="003E313E" w:rsidP="00FB63E6">
      <w:pPr>
        <w:rPr>
          <w:b/>
          <w:bCs/>
          <w:i/>
          <w:iCs/>
        </w:rPr>
      </w:pPr>
    </w:p>
    <w:p w14:paraId="03594A57" w14:textId="46BE01D3" w:rsidR="001A6E2C" w:rsidRPr="001A6E2C" w:rsidRDefault="001A6E2C" w:rsidP="00FB63E6">
      <w:pPr>
        <w:rPr>
          <w:b/>
          <w:bCs/>
          <w:i/>
          <w:iCs/>
        </w:rPr>
      </w:pPr>
      <w:r w:rsidRPr="001A6E2C">
        <w:rPr>
          <w:b/>
          <w:bCs/>
          <w:i/>
          <w:iCs/>
        </w:rPr>
        <w:t>Gelet op</w:t>
      </w:r>
    </w:p>
    <w:p w14:paraId="1210988C" w14:textId="6FF0D34C" w:rsidR="00D300D9" w:rsidRDefault="005655F6" w:rsidP="00FB63E6">
      <w:r>
        <w:t>De artikelen 81a tot met 81k, 160, eerste lid onder d,</w:t>
      </w:r>
      <w:r w:rsidR="00196C83">
        <w:t xml:space="preserve"> 171 en</w:t>
      </w:r>
      <w:r>
        <w:t xml:space="preserve"> 182 tot en met 185</w:t>
      </w:r>
      <w:r w:rsidR="00DF1A8E">
        <w:t>a</w:t>
      </w:r>
      <w:r w:rsidR="00196C83">
        <w:t xml:space="preserve"> van de Gemeentewet;</w:t>
      </w:r>
    </w:p>
    <w:p w14:paraId="14AB0A6E" w14:textId="788DB8A0" w:rsidR="00196C83" w:rsidRPr="00FB63E6" w:rsidRDefault="00196C83" w:rsidP="00196C83">
      <w:r>
        <w:t>De artikelen 79a tot met 79k, 158, eerste lid onder d, 17</w:t>
      </w:r>
      <w:r w:rsidR="00CE7D46">
        <w:t>6</w:t>
      </w:r>
      <w:r>
        <w:t xml:space="preserve"> en 18</w:t>
      </w:r>
      <w:r w:rsidR="005C72E7">
        <w:t>3</w:t>
      </w:r>
      <w:r>
        <w:t xml:space="preserve"> tot en met 18</w:t>
      </w:r>
      <w:r w:rsidR="005C72E7">
        <w:t>6a</w:t>
      </w:r>
      <w:r>
        <w:t xml:space="preserve"> van de </w:t>
      </w:r>
      <w:r w:rsidR="005C72E7">
        <w:t>Provinciewet</w:t>
      </w:r>
      <w:r>
        <w:t>;</w:t>
      </w:r>
    </w:p>
    <w:p w14:paraId="3FC34E58" w14:textId="61E3803E" w:rsidR="00196C83" w:rsidRPr="00FB63E6" w:rsidRDefault="00196C83" w:rsidP="00196C83">
      <w:r>
        <w:t xml:space="preserve">De artikelen </w:t>
      </w:r>
      <w:r w:rsidR="00217941">
        <w:t>5</w:t>
      </w:r>
      <w:r>
        <w:t>1</w:t>
      </w:r>
      <w:r w:rsidR="00217941">
        <w:t>a</w:t>
      </w:r>
      <w:r>
        <w:t xml:space="preserve">a tot met </w:t>
      </w:r>
      <w:r w:rsidR="00217941">
        <w:t>5</w:t>
      </w:r>
      <w:r>
        <w:t>1</w:t>
      </w:r>
      <w:r w:rsidR="00217941">
        <w:t>a</w:t>
      </w:r>
      <w:r>
        <w:t xml:space="preserve">k, </w:t>
      </w:r>
      <w:r w:rsidR="00F879B7">
        <w:t>77</w:t>
      </w:r>
      <w:r w:rsidR="00EA2E7F">
        <w:t>,</w:t>
      </w:r>
      <w:r>
        <w:t xml:space="preserve"> </w:t>
      </w:r>
      <w:r w:rsidR="0049688D">
        <w:t>95</w:t>
      </w:r>
      <w:r>
        <w:t xml:space="preserve"> en </w:t>
      </w:r>
      <w:r w:rsidR="001D127B">
        <w:t>97a</w:t>
      </w:r>
      <w:r>
        <w:t xml:space="preserve"> tot en met </w:t>
      </w:r>
      <w:r w:rsidR="001D127B">
        <w:t>97e</w:t>
      </w:r>
      <w:r>
        <w:t xml:space="preserve"> van de</w:t>
      </w:r>
      <w:r w:rsidR="001D127B">
        <w:t xml:space="preserve"> Waterschapswet</w:t>
      </w:r>
      <w:r>
        <w:t>;</w:t>
      </w:r>
    </w:p>
    <w:p w14:paraId="582EC0E6" w14:textId="77777777" w:rsidR="00196C83" w:rsidRDefault="00196C83" w:rsidP="00FB63E6"/>
    <w:p w14:paraId="62557606" w14:textId="76161B63" w:rsidR="006C7892" w:rsidRDefault="006C7892" w:rsidP="00FB63E6">
      <w:r>
        <w:t>Komen als volgt overeen:</w:t>
      </w:r>
    </w:p>
    <w:p w14:paraId="43020298" w14:textId="77777777" w:rsidR="006C7892" w:rsidRDefault="006C7892" w:rsidP="00FB63E6"/>
    <w:p w14:paraId="1BF6A081" w14:textId="77777777" w:rsidR="003E313E" w:rsidRDefault="003E313E">
      <w:pPr>
        <w:rPr>
          <w:rFonts w:asciiTheme="majorHAnsi" w:eastAsiaTheme="majorEastAsia" w:hAnsiTheme="majorHAnsi" w:cstheme="majorBidi"/>
          <w:color w:val="2F5496" w:themeColor="accent1" w:themeShade="BF"/>
          <w:sz w:val="26"/>
          <w:szCs w:val="26"/>
        </w:rPr>
      </w:pPr>
      <w:r>
        <w:br w:type="page"/>
      </w:r>
    </w:p>
    <w:p w14:paraId="56E00106" w14:textId="3E13E2F5" w:rsidR="006C7892" w:rsidRDefault="006C7892" w:rsidP="006C7892">
      <w:pPr>
        <w:pStyle w:val="Kop2"/>
      </w:pPr>
      <w:r>
        <w:lastRenderedPageBreak/>
        <w:t xml:space="preserve">Artikel 1 </w:t>
      </w:r>
      <w:r w:rsidR="00962AED">
        <w:t>Begripsbepalingen</w:t>
      </w:r>
    </w:p>
    <w:p w14:paraId="51D262B5" w14:textId="21AB3EEF" w:rsidR="00962AED" w:rsidRDefault="00962AED" w:rsidP="00962AED">
      <w:r>
        <w:t>In deze samenwerkingsovereenkomst wordt verstaan onder:</w:t>
      </w:r>
    </w:p>
    <w:p w14:paraId="0732A445" w14:textId="5F7843FC" w:rsidR="005C42AF" w:rsidRPr="0016445B" w:rsidRDefault="005C42AF" w:rsidP="005C42AF">
      <w:pPr>
        <w:ind w:left="2832" w:hanging="2832"/>
      </w:pPr>
      <w:r>
        <w:t>a. Gemeenten</w:t>
      </w:r>
      <w:r w:rsidR="003E313E">
        <w:t>:</w:t>
      </w:r>
      <w:r w:rsidR="0016445B">
        <w:tab/>
        <w:t xml:space="preserve">de gemeenten </w:t>
      </w:r>
      <w:r w:rsidR="0016445B" w:rsidRPr="003E313E">
        <w:rPr>
          <w:highlight w:val="yellow"/>
        </w:rPr>
        <w:t>[</w:t>
      </w:r>
      <w:r w:rsidR="0016445B" w:rsidRPr="003E313E">
        <w:rPr>
          <w:i/>
          <w:iCs/>
          <w:highlight w:val="yellow"/>
        </w:rPr>
        <w:t>ONDERTEKENAARS TOEVOEGEN</w:t>
      </w:r>
      <w:r w:rsidR="0016445B" w:rsidRPr="003E313E">
        <w:rPr>
          <w:highlight w:val="yellow"/>
        </w:rPr>
        <w:t>]</w:t>
      </w:r>
      <w:r w:rsidR="00814132">
        <w:t>;</w:t>
      </w:r>
    </w:p>
    <w:p w14:paraId="70E14A91" w14:textId="022021FA" w:rsidR="00814132" w:rsidRDefault="00F549EF" w:rsidP="005C42AF">
      <w:pPr>
        <w:ind w:left="2832" w:hanging="2832"/>
      </w:pPr>
      <w:r>
        <w:t>b</w:t>
      </w:r>
      <w:r w:rsidR="00814132">
        <w:t>. Gemeenteraden:</w:t>
      </w:r>
      <w:r w:rsidR="00814132">
        <w:tab/>
        <w:t>de gemeenteraden van de gemeenten;</w:t>
      </w:r>
    </w:p>
    <w:p w14:paraId="6B17549B" w14:textId="23D5138F" w:rsidR="00B53FAE" w:rsidRDefault="00F549EF" w:rsidP="005C42AF">
      <w:pPr>
        <w:ind w:left="2832" w:hanging="2832"/>
      </w:pPr>
      <w:r>
        <w:t>c</w:t>
      </w:r>
      <w:r w:rsidR="00B53FAE">
        <w:t>. Ondersteunende gemeente:</w:t>
      </w:r>
      <w:r w:rsidR="00B53FAE">
        <w:tab/>
        <w:t xml:space="preserve">de gemeente </w:t>
      </w:r>
      <w:r w:rsidR="00B53FAE" w:rsidRPr="003E313E">
        <w:rPr>
          <w:i/>
          <w:iCs/>
          <w:highlight w:val="yellow"/>
        </w:rPr>
        <w:t>[NAAM INVULLEN]</w:t>
      </w:r>
      <w:r w:rsidR="003E313E">
        <w:t>,</w:t>
      </w:r>
      <w:r w:rsidR="00B53FAE">
        <w:t xml:space="preserve"> die verantwoordelijk is voor het werkgeverschap van de ambtenaren die de rekenkamer ondersteunen</w:t>
      </w:r>
      <w:r>
        <w:t>, en</w:t>
      </w:r>
    </w:p>
    <w:p w14:paraId="4E6A338E" w14:textId="5A632986" w:rsidR="00962AED" w:rsidRDefault="00F549EF" w:rsidP="005C42AF">
      <w:pPr>
        <w:ind w:left="2832" w:hanging="2832"/>
      </w:pPr>
      <w:r>
        <w:t>d</w:t>
      </w:r>
      <w:r w:rsidR="00962AED">
        <w:t xml:space="preserve">. </w:t>
      </w:r>
      <w:r w:rsidR="002C294A">
        <w:t>Rekenkamer</w:t>
      </w:r>
      <w:r w:rsidR="002C294A">
        <w:tab/>
        <w:t>de Rekenkamers van de gemeenten/provincies/gemeenten</w:t>
      </w:r>
      <w:r w:rsidR="005C42AF">
        <w:t>,</w:t>
      </w:r>
      <w:r w:rsidR="002C294A">
        <w:t xml:space="preserve"> ingesteld bij de Verordening </w:t>
      </w:r>
      <w:r w:rsidR="005C42AF">
        <w:t xml:space="preserve">Rekenkamer </w:t>
      </w:r>
      <w:r w:rsidR="005C42AF" w:rsidRPr="003E313E">
        <w:rPr>
          <w:i/>
          <w:iCs/>
          <w:highlight w:val="yellow"/>
        </w:rPr>
        <w:t>[NAAM INVULLEN]</w:t>
      </w:r>
      <w:r w:rsidR="005C42AF">
        <w:t xml:space="preserve"> zoals vastgesteld door de afzonderlijke gemeenteraden</w:t>
      </w:r>
      <w:r>
        <w:t>.</w:t>
      </w:r>
    </w:p>
    <w:p w14:paraId="66761323" w14:textId="77777777" w:rsidR="00E00C31" w:rsidRDefault="00E00C31" w:rsidP="005C42AF">
      <w:pPr>
        <w:ind w:left="2832" w:hanging="2832"/>
      </w:pPr>
    </w:p>
    <w:p w14:paraId="700B8DB3" w14:textId="1DF1BA5F" w:rsidR="00E00C31" w:rsidRDefault="00E00C31" w:rsidP="00E00C31">
      <w:pPr>
        <w:pStyle w:val="Kop2"/>
      </w:pPr>
      <w:r>
        <w:t>Artikel</w:t>
      </w:r>
      <w:r>
        <w:tab/>
        <w:t>2</w:t>
      </w:r>
      <w:r>
        <w:tab/>
        <w:t>Belang</w:t>
      </w:r>
    </w:p>
    <w:p w14:paraId="5614039E" w14:textId="66CE3A25" w:rsidR="00C73DBB" w:rsidRDefault="00C73DBB" w:rsidP="00E00C31">
      <w:r>
        <w:t xml:space="preserve">1. De gemeenten werken samen op het gebied van de rekenkamer en van de ambtelijke ondersteuning van de rekenkamer. </w:t>
      </w:r>
    </w:p>
    <w:p w14:paraId="33A0CC6D" w14:textId="4605121A" w:rsidR="00E00C31" w:rsidRDefault="00C73DBB" w:rsidP="00E00C31">
      <w:r>
        <w:t>2. Doel van deze overeenkomst is de aspecten van de gezamenlijke ondersteuning te regelen en enkele financiële bepalingen te treffen.</w:t>
      </w:r>
    </w:p>
    <w:p w14:paraId="774FAFDF" w14:textId="6CD0B74B" w:rsidR="008A5676" w:rsidRDefault="008A5676" w:rsidP="00E00C31">
      <w:r>
        <w:t>3. Doel van de gezamenlijke rekenkamer is het bijdragen aan het versterken van transparantie, verantwoording en toezicht ten behoeve van het realiseren van een goed openbaar bestuur, onverminderd het bepaalde in artikel 182, eerste lid, van de Gemeentewet.</w:t>
      </w:r>
    </w:p>
    <w:p w14:paraId="1C22E375" w14:textId="77777777" w:rsidR="008A5676" w:rsidRDefault="008A5676" w:rsidP="00E00C31"/>
    <w:p w14:paraId="2A831AFC" w14:textId="7B10A1C1" w:rsidR="008A5676" w:rsidRDefault="00567040" w:rsidP="006C5806">
      <w:pPr>
        <w:pStyle w:val="Kop2"/>
      </w:pPr>
      <w:r>
        <w:t>Artikel 3</w:t>
      </w:r>
      <w:r>
        <w:tab/>
      </w:r>
      <w:r w:rsidR="006C5806">
        <w:t>Benoeming leden</w:t>
      </w:r>
    </w:p>
    <w:p w14:paraId="382A5B77" w14:textId="5CDC8F99" w:rsidR="006C5806" w:rsidRDefault="006C5806" w:rsidP="006C5806">
      <w:r>
        <w:t xml:space="preserve">1. De rekenkamer bestaat uit </w:t>
      </w:r>
      <w:r w:rsidRPr="00EF07FD">
        <w:rPr>
          <w:highlight w:val="yellow"/>
        </w:rPr>
        <w:t>[</w:t>
      </w:r>
      <w:r w:rsidR="00EF07FD" w:rsidRPr="00EF07FD">
        <w:rPr>
          <w:highlight w:val="yellow"/>
        </w:rPr>
        <w:t>PM</w:t>
      </w:r>
      <w:r w:rsidRPr="00EF07FD">
        <w:rPr>
          <w:highlight w:val="yellow"/>
        </w:rPr>
        <w:t>]</w:t>
      </w:r>
      <w:r>
        <w:t xml:space="preserve"> leden.</w:t>
      </w:r>
    </w:p>
    <w:p w14:paraId="2DD23DFF" w14:textId="6156AC03" w:rsidR="00E11A48" w:rsidRDefault="00E11A48" w:rsidP="006C5806">
      <w:r>
        <w:t>2. De benoeming</w:t>
      </w:r>
      <w:r w:rsidR="00AB1AAF">
        <w:t xml:space="preserve"> of herbenoeming</w:t>
      </w:r>
      <w:r>
        <w:t xml:space="preserve"> van de leden van de rekenkamer wordt voorbereid door een selectieadviescommissie</w:t>
      </w:r>
      <w:r w:rsidR="00A4685F">
        <w:t>.</w:t>
      </w:r>
    </w:p>
    <w:p w14:paraId="6038275D" w14:textId="247BAC13" w:rsidR="00A4685F" w:rsidRDefault="00A4685F" w:rsidP="006C5806">
      <w:r>
        <w:t>3. De selectieadviescommissie bestaat uit twee leden per gemeente, door en uit de gemeenteraad aan te wijzen.</w:t>
      </w:r>
      <w:r w:rsidR="00AB1AAF">
        <w:t xml:space="preserve"> De gemeenteraad wijst de leden zo spoedig mogelijk aan na het bijeenkomen van een nieuwe gemeenteraad na verkiezingen.</w:t>
      </w:r>
      <w:r w:rsidR="002D1DC9">
        <w:t xml:space="preserve"> De gemeenteraad kan te allen tijden andere raadsleden aanwijzen ten behoeve van de selectieadviescommissie.</w:t>
      </w:r>
    </w:p>
    <w:p w14:paraId="548AC3C3" w14:textId="783A9A4D" w:rsidR="0053699A" w:rsidRDefault="0053699A" w:rsidP="006C5806">
      <w:r>
        <w:t>4. De selectieadviescommissie</w:t>
      </w:r>
      <w:r w:rsidR="00247333">
        <w:t xml:space="preserve"> bestaat voorts uit </w:t>
      </w:r>
      <w:r w:rsidR="00EF07FD">
        <w:rPr>
          <w:highlight w:val="yellow"/>
        </w:rPr>
        <w:t>[PM</w:t>
      </w:r>
      <w:r w:rsidR="00247333" w:rsidRPr="00EF07FD">
        <w:rPr>
          <w:highlight w:val="yellow"/>
        </w:rPr>
        <w:t>]</w:t>
      </w:r>
      <w:r w:rsidR="00247333">
        <w:t xml:space="preserve"> leden, door en uit de rekenkamer aan te wijzen.</w:t>
      </w:r>
      <w:r w:rsidR="00247333" w:rsidDel="00247333">
        <w:t xml:space="preserve"> </w:t>
      </w:r>
    </w:p>
    <w:p w14:paraId="7F156DDE" w14:textId="1CE2FD9C" w:rsidR="00D65220" w:rsidRDefault="00D65220" w:rsidP="006C5806">
      <w:r>
        <w:t>5. De selectieadviescommissie adviseert de gemeenteraden omtrent de benoeming van een lid of de voorzitter van de rekenkamer.</w:t>
      </w:r>
    </w:p>
    <w:p w14:paraId="3753ABE1" w14:textId="47C6F7C5" w:rsidR="00BB6745" w:rsidRDefault="00BB6745" w:rsidP="006C5806">
      <w:r>
        <w:t>6. De gemeenteraden zijn ieder afzonderlijk verantwoordelijk voor de benoeming van de leden</w:t>
      </w:r>
      <w:r w:rsidR="00247333">
        <w:t xml:space="preserve"> van de rekenkamer</w:t>
      </w:r>
      <w:r>
        <w:t xml:space="preserve"> en voor de aflegging van de eed, als bedoeld in artikel 81g van de Gemeentewet.</w:t>
      </w:r>
    </w:p>
    <w:p w14:paraId="5CBC37B6" w14:textId="77777777" w:rsidR="00D65220" w:rsidRDefault="00D65220" w:rsidP="006C5806"/>
    <w:p w14:paraId="234C08D8" w14:textId="77777777" w:rsidR="00EF07FD" w:rsidRDefault="00EF07FD">
      <w:pPr>
        <w:rPr>
          <w:rFonts w:asciiTheme="majorHAnsi" w:eastAsiaTheme="majorEastAsia" w:hAnsiTheme="majorHAnsi" w:cstheme="majorBidi"/>
          <w:color w:val="2F5496" w:themeColor="accent1" w:themeShade="BF"/>
          <w:sz w:val="26"/>
          <w:szCs w:val="26"/>
        </w:rPr>
      </w:pPr>
      <w:r>
        <w:br w:type="page"/>
      </w:r>
    </w:p>
    <w:p w14:paraId="3BACB012" w14:textId="7B3E623F" w:rsidR="00D65220" w:rsidRDefault="00D65220" w:rsidP="00D65220">
      <w:pPr>
        <w:pStyle w:val="Kop2"/>
      </w:pPr>
      <w:r>
        <w:lastRenderedPageBreak/>
        <w:t>Artikel 4</w:t>
      </w:r>
      <w:r>
        <w:tab/>
        <w:t>Ontslag leden</w:t>
      </w:r>
    </w:p>
    <w:p w14:paraId="10D9D2EF" w14:textId="5CB2B0AE" w:rsidR="00D65220" w:rsidRDefault="00D65220" w:rsidP="00D65220">
      <w:r>
        <w:t xml:space="preserve">1. Indien </w:t>
      </w:r>
      <w:r w:rsidR="0047246A">
        <w:t xml:space="preserve">een van de gemeenteraden van mening is dat een lid van de rekenkamer op grond van artikel 81d van de Gemeentewet op non-activiteit moet </w:t>
      </w:r>
      <w:r w:rsidR="00047E47">
        <w:t>worden gesteld</w:t>
      </w:r>
      <w:r w:rsidR="0056543B">
        <w:t xml:space="preserve"> of op grond van artikel 81c, </w:t>
      </w:r>
      <w:r w:rsidR="0013182B">
        <w:t>zesde of zevende lid, van de Gemeentewet ontslagen dient te worden</w:t>
      </w:r>
      <w:r w:rsidR="00047E47">
        <w:t>, dan doet deze gemeenteraad daarvan zo spoedig mogelijk kennisgeving aan de andere gemeenteraden.</w:t>
      </w:r>
    </w:p>
    <w:p w14:paraId="7FBEA2A5" w14:textId="1B69B572" w:rsidR="009F079A" w:rsidRDefault="00047E47" w:rsidP="00D65220">
      <w:r>
        <w:t xml:space="preserve">2. </w:t>
      </w:r>
      <w:r w:rsidR="0056543B">
        <w:t>De selectieadviescommissie, bedoeld in artikel 3, tweede lid, wordt zo spoedig mogelijk bijeengeroepen o</w:t>
      </w:r>
      <w:r w:rsidR="000A2EB8">
        <w:t>m</w:t>
      </w:r>
      <w:r w:rsidR="0056543B">
        <w:t xml:space="preserve"> de gemeenteraden te adviseren omtrent het </w:t>
      </w:r>
      <w:r w:rsidR="009F079A">
        <w:t>op non-actief stellen of ontslag verlenen aan het lid van de rekenkamer, bedoeld in het eerste lid. Artikel 3, vierde lid, is van overeenkomstige toepassing.</w:t>
      </w:r>
    </w:p>
    <w:p w14:paraId="42150E8B" w14:textId="2BB25F25" w:rsidR="000A2EB8" w:rsidRDefault="000A2EB8" w:rsidP="00D65220">
      <w:r>
        <w:t>3. Een lid van de rekenkamer dat overeenkomstig artikel 3, vierde lid, is aangewezen als lid van de selectieadviescommissie kan niet deelnemen aan de beraadslagingen of besluitvorming van de selectieadviescommissie indien het om zijn eigen ontslag gaat. De rekenkamer kan in die situatie een plaatsvervanger aanwijzen voor de selectieadviescommissie.</w:t>
      </w:r>
    </w:p>
    <w:p w14:paraId="4873F5A8" w14:textId="12EECAB8" w:rsidR="00EF07FD" w:rsidRPr="00D65220" w:rsidRDefault="00EF07FD" w:rsidP="00D65220">
      <w:r>
        <w:t xml:space="preserve">4. </w:t>
      </w:r>
      <w:r>
        <w:t>Dit artikel is niet van toepassing op ontslag van een lid van de rekenkamer op eigen verzoek.</w:t>
      </w:r>
    </w:p>
    <w:p w14:paraId="52F46187" w14:textId="77777777" w:rsidR="00D92EE7" w:rsidRDefault="00D92EE7" w:rsidP="00570927"/>
    <w:p w14:paraId="31379487" w14:textId="6B98109F" w:rsidR="00570927" w:rsidRDefault="00570927" w:rsidP="00570927">
      <w:pPr>
        <w:pStyle w:val="Kop2"/>
      </w:pPr>
      <w:r>
        <w:t xml:space="preserve">Artikel </w:t>
      </w:r>
      <w:r w:rsidR="00820FF4">
        <w:t>5</w:t>
      </w:r>
      <w:r>
        <w:tab/>
        <w:t xml:space="preserve">Ambtelijke ondersteuning </w:t>
      </w:r>
    </w:p>
    <w:p w14:paraId="67A258AB" w14:textId="77777777" w:rsidR="00570927" w:rsidRDefault="00570927" w:rsidP="00570927">
      <w:r>
        <w:t>1. De rekenkamer wordt ambtelijk ondersteund.</w:t>
      </w:r>
    </w:p>
    <w:p w14:paraId="2BE2B61C" w14:textId="7AE5544C" w:rsidR="00B53FAE" w:rsidRDefault="00570927" w:rsidP="00570927">
      <w:r>
        <w:t>2. De ambtelijke ondersteuning van de rekenkamer wordt op voordracht van de voorzitter van de rekenkamer benoemd</w:t>
      </w:r>
      <w:r w:rsidR="000A2EB8">
        <w:t xml:space="preserve"> of ingehuurd</w:t>
      </w:r>
      <w:r>
        <w:t xml:space="preserve"> door het college van de </w:t>
      </w:r>
      <w:r w:rsidR="00B53FAE">
        <w:t>ondersteunende gemeente</w:t>
      </w:r>
      <w:r w:rsidR="00AF7CEA">
        <w:t>.</w:t>
      </w:r>
    </w:p>
    <w:p w14:paraId="3D48C827" w14:textId="7A24A9F1" w:rsidR="00AF7CEA" w:rsidRDefault="00AF7CEA" w:rsidP="00570927">
      <w:r>
        <w:t xml:space="preserve">3. </w:t>
      </w:r>
      <w:r w:rsidR="00570927">
        <w:t xml:space="preserve">De ambtelijke ondersteuning houdt kantoor in het gemeentehuis van </w:t>
      </w:r>
      <w:r>
        <w:t>de ondersteunende gemeente</w:t>
      </w:r>
      <w:r w:rsidR="000A2EB8">
        <w:t>, hetgeen onverlet laat dat deze persoon ook elders feitelijke werkzaamheden verricht</w:t>
      </w:r>
      <w:r w:rsidR="00570927">
        <w:t xml:space="preserve">. </w:t>
      </w:r>
    </w:p>
    <w:p w14:paraId="5D068037" w14:textId="38AB1F0C" w:rsidR="00AF7CEA" w:rsidRDefault="00AF7CEA" w:rsidP="00570927">
      <w:r>
        <w:t>4</w:t>
      </w:r>
      <w:r w:rsidR="00570927">
        <w:t xml:space="preserve">. De functie, de taken, het profiel en de inschaling van de ambtelijke ondersteuning worden door de rekenkamer vastgelegd, overeenkomstig de in de </w:t>
      </w:r>
      <w:r>
        <w:t>ondersteunende gemeente</w:t>
      </w:r>
      <w:r w:rsidR="00570927">
        <w:t xml:space="preserve"> geldende systematiek. Werving en selectie geschiedt door de rekenkamer met ondersteuning van de </w:t>
      </w:r>
      <w:r>
        <w:t>ondersteunende gemeente</w:t>
      </w:r>
      <w:r w:rsidR="00570927">
        <w:t>.</w:t>
      </w:r>
      <w:r w:rsidR="000A2EB8">
        <w:t xml:space="preserve"> De gemeenteraden zorgen ervoor dat de rekenkamer over voldoende middelen beschikt om de werving en selectie van de ambtelijke ondersteuning </w:t>
      </w:r>
      <w:r w:rsidR="00353418">
        <w:t>vorm te kunnen geven.</w:t>
      </w:r>
    </w:p>
    <w:p w14:paraId="4A776A7B" w14:textId="45D48DF8" w:rsidR="00D92EE7" w:rsidRDefault="00B406A8" w:rsidP="00570927">
      <w:r>
        <w:t>5</w:t>
      </w:r>
      <w:r w:rsidR="00AF7CEA">
        <w:t>.</w:t>
      </w:r>
      <w:r w:rsidR="00570927">
        <w:t xml:space="preserve"> De ambtelijke ondersteuning wordt aangestuurd door de voorzitter van de rekenkamer</w:t>
      </w:r>
      <w:r w:rsidR="00AF7CEA">
        <w:t>.</w:t>
      </w:r>
    </w:p>
    <w:p w14:paraId="5FF822FA" w14:textId="24F65F12" w:rsidR="00353418" w:rsidRDefault="00353418" w:rsidP="00570927">
      <w:r>
        <w:t xml:space="preserve">6. De ondersteunende gemeente krijgt voor het voeren van de administratie en andere ondersteunende werkzaamheden per jaar een vergoeding van € </w:t>
      </w:r>
      <w:r w:rsidRPr="00EF07FD">
        <w:rPr>
          <w:i/>
          <w:iCs/>
          <w:highlight w:val="yellow"/>
        </w:rPr>
        <w:t>[PM]</w:t>
      </w:r>
      <w:r>
        <w:t>.</w:t>
      </w:r>
    </w:p>
    <w:p w14:paraId="5BE90D12" w14:textId="77777777" w:rsidR="00B406A8" w:rsidRDefault="00B406A8" w:rsidP="00570927"/>
    <w:p w14:paraId="2EC09680" w14:textId="1D020D84" w:rsidR="00B406A8" w:rsidRDefault="00B406A8" w:rsidP="00B406A8">
      <w:pPr>
        <w:pStyle w:val="Kop2"/>
      </w:pPr>
      <w:r>
        <w:t xml:space="preserve">Artikel </w:t>
      </w:r>
      <w:r w:rsidR="00820FF4">
        <w:t>6</w:t>
      </w:r>
      <w:r>
        <w:tab/>
        <w:t xml:space="preserve">Verplichtingen </w:t>
      </w:r>
      <w:r w:rsidR="004F6FCE">
        <w:t>gemeenten</w:t>
      </w:r>
    </w:p>
    <w:p w14:paraId="32736670" w14:textId="23BE6473" w:rsidR="00B406A8" w:rsidRDefault="00B406A8" w:rsidP="00B406A8">
      <w:r>
        <w:t>1. Voor aangelegenheden waarvoor rechtspersoonlijkheid vereist is, treedt de ondersteunende gemeente als rechtspersoon op.</w:t>
      </w:r>
      <w:r w:rsidR="001D42E9">
        <w:t xml:space="preserve"> </w:t>
      </w:r>
      <w:r w:rsidR="007F659E">
        <w:t>De gemeenteraden van de gemeenten zien er op toe dat d</w:t>
      </w:r>
      <w:r w:rsidR="001D42E9">
        <w:t>e colleges van burgemeester en wethouders van de gemeenten de rekenkamer de mandaten, volmachten en machtigingen</w:t>
      </w:r>
      <w:r w:rsidR="007F659E">
        <w:t xml:space="preserve"> </w:t>
      </w:r>
      <w:r w:rsidR="004F6FCE">
        <w:t>verlenen</w:t>
      </w:r>
      <w:r w:rsidR="001D42E9">
        <w:t xml:space="preserve"> die nodig zijn voor de onafhankelijke taakuitoefening door de rekenkamer.</w:t>
      </w:r>
    </w:p>
    <w:p w14:paraId="2FC73057" w14:textId="458C4FB1" w:rsidR="00B406A8" w:rsidRDefault="00B406A8" w:rsidP="00B406A8">
      <w:r>
        <w:t xml:space="preserve">2. De </w:t>
      </w:r>
      <w:r w:rsidR="001D42E9">
        <w:t xml:space="preserve">rekenkamer is verantwoordelijk voor afhandeling van klachten als bedoeld in hoofdstuk 9 van de Algemene wet bestuursrecht, voor zover het zijn eigen gedragingen of de gedragingen van de ambtelijke ondersteuning, bedoeld in artikel </w:t>
      </w:r>
      <w:r w:rsidR="00820FF4">
        <w:t>5</w:t>
      </w:r>
      <w:r w:rsidR="001D42E9">
        <w:t xml:space="preserve">, betreft. De gemeenteraad van de ondersteunende gemeente geeft, voor zover nodig, de rekenkamer de mandaten </w:t>
      </w:r>
      <w:r w:rsidR="00820433">
        <w:t>en machtigingen om klachten te af te handelen.</w:t>
      </w:r>
      <w:r w:rsidR="00C50396">
        <w:t xml:space="preserve"> De ondersteunende gemeente adviseert de rekenkamer omtrent afhandeling van klachten.</w:t>
      </w:r>
    </w:p>
    <w:p w14:paraId="301859FE" w14:textId="0A2E45AD" w:rsidR="00820433" w:rsidRDefault="00820433" w:rsidP="00B406A8">
      <w:r>
        <w:lastRenderedPageBreak/>
        <w:t xml:space="preserve">3. De ondersteunende gemeente is verantwoordelijk voor de advisering aan de rekenkamer omtrent de toepassing van de Wet open overheid en de afhandeling van verzoeken op grond van die wet. </w:t>
      </w:r>
    </w:p>
    <w:p w14:paraId="449D8BE1" w14:textId="1844E142" w:rsidR="00820433" w:rsidRDefault="00820433" w:rsidP="00820433">
      <w:r>
        <w:t>4. De ondersteunende gemeente is verantwoordelijk voor de advisering aan de rekenkamer omtrent de toepassing van de Uitvoeringswet A</w:t>
      </w:r>
      <w:r w:rsidR="00CA2006">
        <w:t>lgemene verordening gegevensbescherming</w:t>
      </w:r>
      <w:r>
        <w:t xml:space="preserve"> en de afhandeling van verzoeken op grond van die wet. </w:t>
      </w:r>
    </w:p>
    <w:p w14:paraId="16643B7E" w14:textId="2DAC4186" w:rsidR="00CA2006" w:rsidRPr="00B406A8" w:rsidRDefault="00CA2006" w:rsidP="00820433">
      <w:r>
        <w:t xml:space="preserve">5. De ondersteunende gemeente is verantwoordelijk voor de </w:t>
      </w:r>
      <w:r w:rsidR="004941E1">
        <w:t>verplichtingen die voor de rekenkamer voortvloeien uit de Archiefwet 1995 en de Wet hergebruik overheidsinformatie.</w:t>
      </w:r>
    </w:p>
    <w:p w14:paraId="21EAB7E5" w14:textId="77777777" w:rsidR="00820433" w:rsidRDefault="00820433" w:rsidP="00B406A8"/>
    <w:p w14:paraId="208E2444" w14:textId="754AC4A8" w:rsidR="001B612E" w:rsidRDefault="003F1F00" w:rsidP="003F1F00">
      <w:pPr>
        <w:pStyle w:val="Kop2"/>
      </w:pPr>
      <w:r>
        <w:t xml:space="preserve">Artikel </w:t>
      </w:r>
      <w:r w:rsidR="00820FF4">
        <w:t>7</w:t>
      </w:r>
      <w:r>
        <w:tab/>
        <w:t>Financiën</w:t>
      </w:r>
    </w:p>
    <w:p w14:paraId="0107C58B" w14:textId="53A25FD1" w:rsidR="000127A6" w:rsidRDefault="003F1F00" w:rsidP="003F1F00">
      <w:r>
        <w:t xml:space="preserve">1. Het budget van de rekenkamer bedraagt bij het aangaan van deze samenwerkingsovereenkomst € </w:t>
      </w:r>
      <w:r w:rsidRPr="00EF07FD">
        <w:rPr>
          <w:i/>
          <w:iCs/>
          <w:highlight w:val="yellow"/>
        </w:rPr>
        <w:t>[</w:t>
      </w:r>
      <w:r w:rsidR="00EF07FD">
        <w:rPr>
          <w:i/>
          <w:iCs/>
          <w:highlight w:val="yellow"/>
        </w:rPr>
        <w:t>PM</w:t>
      </w:r>
      <w:r w:rsidRPr="00EF07FD">
        <w:rPr>
          <w:i/>
          <w:iCs/>
          <w:highlight w:val="yellow"/>
        </w:rPr>
        <w:t>]</w:t>
      </w:r>
      <w:r>
        <w:t xml:space="preserve"> per gemeentelijke inwoner. Dit bedrag wordt ieder jaar geïndexeerd op 1 januari op basis van de prijsmutatie Bruto Binnenlands Product (</w:t>
      </w:r>
      <w:proofErr w:type="spellStart"/>
      <w:r>
        <w:t>pBBP</w:t>
      </w:r>
      <w:proofErr w:type="spellEnd"/>
      <w:r>
        <w:t xml:space="preserve">) volgens de meicirculaire van het ministerie van Binnenlandse Zaken </w:t>
      </w:r>
      <w:r w:rsidR="000127A6">
        <w:t xml:space="preserve">en Koninkrijksrelaties </w:t>
      </w:r>
      <w:r>
        <w:t>van het voorafgaande jaar en jaarlijks aangepast aan het aantal inwoners per 1 januari van het betreffende jaar</w:t>
      </w:r>
      <w:r w:rsidR="000127A6">
        <w:t xml:space="preserve">, met inachtneming van artikel </w:t>
      </w:r>
      <w:r w:rsidR="00FA6E9A">
        <w:t>1 van de Gemeentewet</w:t>
      </w:r>
      <w:r>
        <w:t xml:space="preserve">. </w:t>
      </w:r>
    </w:p>
    <w:p w14:paraId="6249DF3D" w14:textId="0095105C" w:rsidR="00FA6E9A" w:rsidRDefault="00FA6E9A" w:rsidP="003F1F00">
      <w:r>
        <w:t>2</w:t>
      </w:r>
      <w:r w:rsidR="003F1F00">
        <w:t>. De gemeentera</w:t>
      </w:r>
      <w:r w:rsidR="0091646B">
        <w:t>den</w:t>
      </w:r>
      <w:r w:rsidR="003F1F00">
        <w:t xml:space="preserve"> ne</w:t>
      </w:r>
      <w:r w:rsidR="0091646B">
        <w:t>men</w:t>
      </w:r>
      <w:r w:rsidR="00247333">
        <w:t xml:space="preserve"> het door hen te betalen bedrag op basis van het in het vorige lid bedoelde </w:t>
      </w:r>
      <w:r w:rsidR="003F1F00">
        <w:t>budget</w:t>
      </w:r>
      <w:r w:rsidR="00247333">
        <w:t xml:space="preserve"> per inwoner op</w:t>
      </w:r>
      <w:r w:rsidR="003F1F00">
        <w:t xml:space="preserve"> in </w:t>
      </w:r>
      <w:r w:rsidR="0091646B">
        <w:t>hun</w:t>
      </w:r>
      <w:r w:rsidR="003F1F00">
        <w:t xml:space="preserve"> begroting</w:t>
      </w:r>
      <w:r w:rsidR="0091646B">
        <w:t>en</w:t>
      </w:r>
      <w:r w:rsidR="003F1F00">
        <w:t xml:space="preserve"> en stel</w:t>
      </w:r>
      <w:r w:rsidR="0091646B">
        <w:t>len</w:t>
      </w:r>
      <w:r w:rsidR="003F1F00">
        <w:t xml:space="preserve"> deze middelen jaarlijks aan de rekenkamer beschikbaar. </w:t>
      </w:r>
    </w:p>
    <w:p w14:paraId="2363AE86" w14:textId="77777777" w:rsidR="00FA6E9A" w:rsidRDefault="00FA6E9A" w:rsidP="003F1F00">
      <w:r>
        <w:t>3</w:t>
      </w:r>
      <w:r w:rsidR="003F1F00">
        <w:t xml:space="preserve">. De gezamenlijk te dragen kosten worden betaald uit de bijdrage die de gemeenten hiervoor jaarlijks vaststellen. Deze uitgaven zijn, qua verplichtend karakter, vergelijkbaar met de verplichte uitgaven voor een gemeenschappelijke regeling. </w:t>
      </w:r>
    </w:p>
    <w:p w14:paraId="45B3884B" w14:textId="77777777" w:rsidR="00FA6E9A" w:rsidRDefault="00FA6E9A" w:rsidP="003F1F00">
      <w:r>
        <w:t>4</w:t>
      </w:r>
      <w:r w:rsidR="003F1F00">
        <w:t xml:space="preserve">. De </w:t>
      </w:r>
      <w:r>
        <w:t>ondersteunende gemeente</w:t>
      </w:r>
      <w:r w:rsidR="003F1F00">
        <w:t xml:space="preserve"> voert de administratie van de gemeenschappelijke ondersteuning, alsmede die van de rekenkamer. </w:t>
      </w:r>
    </w:p>
    <w:p w14:paraId="51F37FA7" w14:textId="4261D848" w:rsidR="0091646B" w:rsidRDefault="00FA6E9A" w:rsidP="003F1F00">
      <w:r>
        <w:t>5</w:t>
      </w:r>
      <w:r w:rsidR="003F1F00">
        <w:t>. De gemeenteraden ontvangen uiterlijk op 1 april van het jaar volgend op het verslagjaar een (financiële) verantwoording van de rekenkamer.</w:t>
      </w:r>
      <w:r w:rsidR="00247333">
        <w:t xml:space="preserve"> Artikel 185, vierde en vijfde lid, van de Gemeentewet is van overeenkomstige toepassing.</w:t>
      </w:r>
      <w:r w:rsidR="003F1F00">
        <w:t xml:space="preserve"> Voor wat betreft de inzet van de financiële middelen geldt een streven van 70% voor onderzoekskosten en van 30% voor andere kosten. </w:t>
      </w:r>
    </w:p>
    <w:p w14:paraId="354807AC" w14:textId="79CB1121" w:rsidR="003F1F00" w:rsidRDefault="0091646B" w:rsidP="003F1F00">
      <w:r>
        <w:t>6</w:t>
      </w:r>
      <w:r w:rsidR="003F1F00">
        <w:t xml:space="preserve">. Uitgangspunt bij de kostenverdeling is, dat iedere gemeente qua onderzoeken wordt bediend naar rato van de financiële bijdrage, met een minimum van één onderzoek per </w:t>
      </w:r>
      <w:r w:rsidR="000A2EB8" w:rsidRPr="00EF07FD">
        <w:rPr>
          <w:i/>
          <w:iCs/>
          <w:highlight w:val="yellow"/>
        </w:rPr>
        <w:t>[PM]</w:t>
      </w:r>
      <w:r w:rsidR="00EF07FD">
        <w:t xml:space="preserve"> </w:t>
      </w:r>
      <w:r w:rsidR="003F1F00">
        <w:t>jaar. Reservevorming is mogelijk tot een maximum van de helft van het jaarbudget</w:t>
      </w:r>
      <w:r>
        <w:t>.</w:t>
      </w:r>
    </w:p>
    <w:p w14:paraId="553D3536" w14:textId="77777777" w:rsidR="00A810E5" w:rsidRDefault="00A810E5" w:rsidP="003F1F00"/>
    <w:p w14:paraId="2F5E0DCC" w14:textId="53A587B3" w:rsidR="005F4479" w:rsidRDefault="00A810E5" w:rsidP="003E313E">
      <w:pPr>
        <w:pStyle w:val="Kop2"/>
      </w:pPr>
      <w:r>
        <w:t>Artikel 8</w:t>
      </w:r>
      <w:r>
        <w:tab/>
        <w:t>Klankbordgroep</w:t>
      </w:r>
      <w:r w:rsidR="00FD118E">
        <w:t xml:space="preserve">  </w:t>
      </w:r>
    </w:p>
    <w:p w14:paraId="696F60F9" w14:textId="288CF836" w:rsidR="00A810E5" w:rsidRDefault="00A810E5" w:rsidP="00A810E5">
      <w:r>
        <w:t>1. Er is een klankbordgroep die ten doel heeft om periodiek met de rekenkamer te overleggen over de werkzaamheden van de rekenkamer, de wensen vanuit de gemeenteraden en het verslag en de financiële verantwoording, bedoeld in artikel 7, vijfde lid.</w:t>
      </w:r>
    </w:p>
    <w:p w14:paraId="37B01A36" w14:textId="55CC61EF" w:rsidR="00A810E5" w:rsidRDefault="00A810E5" w:rsidP="00A810E5">
      <w:r>
        <w:t>2. De klankbordgroep bestaat uit twee leden per gemeente, door en uit de gemeenteraad aan te wijzen. De gemeenteraad wijst de leden zo spoedig mogelijk aan na het bijeenkomen van een nieuwe gemeenteraad na verkiezingen. De gemeenteraad kan te allen tijden andere raadsleden aanwijzen ten behoeve van de klankbordgroep.</w:t>
      </w:r>
    </w:p>
    <w:p w14:paraId="00E48832" w14:textId="46529119" w:rsidR="00A810E5" w:rsidRDefault="00A810E5" w:rsidP="003F1F00">
      <w:r>
        <w:lastRenderedPageBreak/>
        <w:br/>
      </w:r>
    </w:p>
    <w:p w14:paraId="3C4512BD" w14:textId="55071A1B" w:rsidR="005F4479" w:rsidRDefault="0077098B" w:rsidP="0077098B">
      <w:pPr>
        <w:pStyle w:val="Kop2"/>
      </w:pPr>
      <w:r>
        <w:t xml:space="preserve">Artikel </w:t>
      </w:r>
      <w:r w:rsidR="00A810E5">
        <w:t>9</w:t>
      </w:r>
      <w:r>
        <w:tab/>
        <w:t>Wijziging</w:t>
      </w:r>
    </w:p>
    <w:p w14:paraId="7F05E19A" w14:textId="7B3BECE5" w:rsidR="0077098B" w:rsidRDefault="0077098B" w:rsidP="0077098B">
      <w:r>
        <w:t>Deze samenwerkingsovereenkomst kan gewijzigd worden nadat alle gemeenteraden hiermee ingestemd hebben</w:t>
      </w:r>
      <w:r w:rsidR="00931F92">
        <w:t xml:space="preserve"> of bij addendum dat door alle gemeenteraden is vastgesteld. Na het betreffende raadsbesluit verrichten het college van burgemeester en wethouders en de burgemeester de daartoe op grond van de artikelen 160 en 171 van de Gemeentewet benodigde rechtshandelingen.</w:t>
      </w:r>
    </w:p>
    <w:p w14:paraId="3B9513F1" w14:textId="77777777" w:rsidR="00C5671F" w:rsidRDefault="00C5671F" w:rsidP="0077098B"/>
    <w:p w14:paraId="463D8182" w14:textId="0C815999" w:rsidR="00C5671F" w:rsidRDefault="00C5671F" w:rsidP="00C5671F">
      <w:pPr>
        <w:pStyle w:val="Kop2"/>
      </w:pPr>
      <w:r>
        <w:t xml:space="preserve">Artikel </w:t>
      </w:r>
      <w:r w:rsidR="00A810E5">
        <w:t>10</w:t>
      </w:r>
      <w:r>
        <w:tab/>
        <w:t>Toetreding</w:t>
      </w:r>
    </w:p>
    <w:p w14:paraId="3E1997BD" w14:textId="0B40E12C" w:rsidR="00C5671F" w:rsidRDefault="00461B0C" w:rsidP="00C5671F">
      <w:r>
        <w:t xml:space="preserve">1. </w:t>
      </w:r>
      <w:r w:rsidR="00C5671F">
        <w:t>Een gemeente kan tot de samenwerkingsovereenkomst toetreden na besluitvorming van de raad van die gemeente en na unanieme besluitvorming van de gemeenteraden. Na het betreffende raadsbesluit verrichten het college van burgemeester en wethouders en de burgemeester de daartoe op grond van de artikelen 160 en 171 van de Gemeentewet benodigde rechtshandelingen.</w:t>
      </w:r>
    </w:p>
    <w:p w14:paraId="1F2FF382" w14:textId="53E1EA26" w:rsidR="00461B0C" w:rsidRPr="00C5671F" w:rsidRDefault="00461B0C" w:rsidP="00C5671F">
      <w:r>
        <w:t>2. Op voorstel van de rekenkamer of de ondersteunende gemeente kunnen aan de toetreding nadere voorwaarden worden verbonden, waaronder een te betalen toetredingssom.</w:t>
      </w:r>
    </w:p>
    <w:p w14:paraId="3C203510" w14:textId="77777777" w:rsidR="0077098B" w:rsidRDefault="0077098B" w:rsidP="0077098B"/>
    <w:p w14:paraId="407E871A" w14:textId="2DFC99DC" w:rsidR="00353418" w:rsidRDefault="00353418" w:rsidP="003E313E">
      <w:pPr>
        <w:pStyle w:val="Kop2"/>
      </w:pPr>
      <w:r>
        <w:t>Artikel 1</w:t>
      </w:r>
      <w:r w:rsidR="00A810E5">
        <w:t>1</w:t>
      </w:r>
      <w:r>
        <w:tab/>
        <w:t>Uittreding</w:t>
      </w:r>
    </w:p>
    <w:p w14:paraId="5111B8FA" w14:textId="77777777" w:rsidR="00353418" w:rsidRDefault="00353418" w:rsidP="00353418">
      <w:r>
        <w:t xml:space="preserve">1. Een deelnemende gemeente kan te allen tijde deze samenwerkingsovereenkomst opzeggen. </w:t>
      </w:r>
      <w:r w:rsidRPr="00DC6F1E">
        <w:t xml:space="preserve">De betreffende </w:t>
      </w:r>
      <w:r>
        <w:t>gemeente</w:t>
      </w:r>
      <w:r w:rsidRPr="00DC6F1E">
        <w:t xml:space="preserve"> treedt uit op 1 januari van het tweede kalenderjaar volgende op het jaar waarin de opzegging wordt aangekondigd</w:t>
      </w:r>
      <w:r>
        <w:t>.</w:t>
      </w:r>
    </w:p>
    <w:p w14:paraId="1154CCE6" w14:textId="14759AEF" w:rsidR="00353418" w:rsidRDefault="00353418" w:rsidP="00353418">
      <w:r>
        <w:t>2. De uittredende gemeente betaalt in het jaar na uittreding nog eenmaal het bedrag dat men in het jaar dat</w:t>
      </w:r>
      <w:r w:rsidR="00DB0100">
        <w:t xml:space="preserve"> tot</w:t>
      </w:r>
      <w:r>
        <w:t xml:space="preserve"> opzegging besloten </w:t>
      </w:r>
      <w:r w:rsidR="00DB0100">
        <w:t>is moest betalen voor de rekenkamer, in het tweede jaar na uittreding betaalt men nog 50% van het genoemde bedrag en vanaf het derde jaar is men niets meer verschuldigd.</w:t>
      </w:r>
    </w:p>
    <w:p w14:paraId="030D23BE" w14:textId="77777777" w:rsidR="00570C52" w:rsidRDefault="00570C52" w:rsidP="00353418"/>
    <w:p w14:paraId="594539A0" w14:textId="5957099D" w:rsidR="0012120D" w:rsidRDefault="0012120D" w:rsidP="0012120D">
      <w:pPr>
        <w:pStyle w:val="Kop2"/>
      </w:pPr>
      <w:r>
        <w:t xml:space="preserve">Artikel </w:t>
      </w:r>
      <w:r w:rsidR="00353418">
        <w:t>1</w:t>
      </w:r>
      <w:r w:rsidR="00A810E5">
        <w:t>2</w:t>
      </w:r>
      <w:r>
        <w:tab/>
        <w:t>Beëindiging samenwerking</w:t>
      </w:r>
    </w:p>
    <w:p w14:paraId="04A973B9" w14:textId="77777777" w:rsidR="006909BF" w:rsidRDefault="0012120D" w:rsidP="0012120D">
      <w:r>
        <w:t>1. In geval van beëindiging van de samenwerkingsovereenkomst en de samenwerking worden de na beëindiging doorlopende kosten verdeeld over de gemeenten naar rato van het aantal inwoners op 1 januari van het jaar van beëindiging van de samenwerkingsovereenkomst</w:t>
      </w:r>
      <w:r w:rsidR="006909BF">
        <w:t>.</w:t>
      </w:r>
    </w:p>
    <w:p w14:paraId="24BF4D51" w14:textId="77777777" w:rsidR="006A56F2" w:rsidRDefault="006909BF" w:rsidP="0012120D">
      <w:r>
        <w:t>2. Onder doorlopende kosten worden in elk geval verstaan de wachtgeldverplichtingen</w:t>
      </w:r>
      <w:r w:rsidR="006A56F2">
        <w:t xml:space="preserve"> en de kosten van de afbouw van de materiële en formatieve overhead van de rekenkamer.</w:t>
      </w:r>
    </w:p>
    <w:p w14:paraId="10BC1452" w14:textId="7CBFC71C" w:rsidR="00DE19FC" w:rsidRDefault="006A56F2" w:rsidP="0012120D">
      <w:r>
        <w:t xml:space="preserve">3. </w:t>
      </w:r>
      <w:r w:rsidR="00DE19FC">
        <w:t xml:space="preserve">De </w:t>
      </w:r>
      <w:r w:rsidR="00DB0100">
        <w:t xml:space="preserve">doorlopende kosten </w:t>
      </w:r>
      <w:r w:rsidR="00DE19FC">
        <w:t>worden volledig verdeeld over de gemeenten.</w:t>
      </w:r>
      <w:r w:rsidR="00DE19FC" w:rsidRPr="00DE19FC">
        <w:t xml:space="preserve"> </w:t>
      </w:r>
      <w:r w:rsidR="00DE19FC">
        <w:t xml:space="preserve">Indien de </w:t>
      </w:r>
      <w:r w:rsidR="00DB0100">
        <w:t xml:space="preserve">doorlopende kosten </w:t>
      </w:r>
      <w:r w:rsidR="00DE19FC">
        <w:t xml:space="preserve">in werkelijkheid lager zijn dan verwacht, zal het verschil worden terugbetaald aan de deelnemers naar rato van de verdeelsleutel zoals opgenomen in het eerste lid. </w:t>
      </w:r>
    </w:p>
    <w:p w14:paraId="100BDB7A" w14:textId="5170AB94" w:rsidR="0012120D" w:rsidRPr="0012120D" w:rsidRDefault="00DB0100" w:rsidP="0012120D">
      <w:r>
        <w:t>4</w:t>
      </w:r>
      <w:r w:rsidR="009C0038">
        <w:t xml:space="preserve">. </w:t>
      </w:r>
      <w:r w:rsidR="0012120D">
        <w:t xml:space="preserve">De </w:t>
      </w:r>
      <w:r w:rsidR="009C0038">
        <w:t xml:space="preserve">ondersteunende </w:t>
      </w:r>
      <w:r w:rsidR="0012120D">
        <w:t xml:space="preserve">gemeente is belast met de </w:t>
      </w:r>
      <w:r w:rsidR="009C0038">
        <w:t>uitvoering van dit artikel.</w:t>
      </w:r>
    </w:p>
    <w:p w14:paraId="2A0B099E" w14:textId="77777777" w:rsidR="0012120D" w:rsidRDefault="0012120D" w:rsidP="0077098B"/>
    <w:p w14:paraId="4C9BE1F7" w14:textId="77777777" w:rsidR="00570C52" w:rsidRDefault="00570C52">
      <w:pPr>
        <w:rPr>
          <w:rFonts w:asciiTheme="majorHAnsi" w:eastAsiaTheme="majorEastAsia" w:hAnsiTheme="majorHAnsi" w:cstheme="majorBidi"/>
          <w:color w:val="2F5496" w:themeColor="accent1" w:themeShade="BF"/>
          <w:sz w:val="26"/>
          <w:szCs w:val="26"/>
        </w:rPr>
      </w:pPr>
      <w:r>
        <w:br w:type="page"/>
      </w:r>
    </w:p>
    <w:p w14:paraId="028BDFE6" w14:textId="2A20EFCA" w:rsidR="00DB0100" w:rsidRDefault="00DB0100" w:rsidP="00DB0100">
      <w:pPr>
        <w:pStyle w:val="Kop2"/>
      </w:pPr>
      <w:r>
        <w:lastRenderedPageBreak/>
        <w:t>Artikel 1</w:t>
      </w:r>
      <w:r w:rsidR="00A810E5">
        <w:t>3</w:t>
      </w:r>
      <w:r>
        <w:t xml:space="preserve"> Slotbepalingen</w:t>
      </w:r>
    </w:p>
    <w:p w14:paraId="4D348308" w14:textId="5D3331EB" w:rsidR="00DB0100" w:rsidRDefault="00DB0100" w:rsidP="00DB0100">
      <w:r>
        <w:t xml:space="preserve">1. Deze overeenkomst wordt aangehaald als Samenwerkingsovereenkomst Rekenkamer </w:t>
      </w:r>
      <w:r w:rsidRPr="00570C52">
        <w:rPr>
          <w:i/>
          <w:iCs/>
          <w:highlight w:val="yellow"/>
        </w:rPr>
        <w:t>[PM]</w:t>
      </w:r>
      <w:r>
        <w:t>.</w:t>
      </w:r>
    </w:p>
    <w:p w14:paraId="3335C9B1" w14:textId="6C91C402" w:rsidR="00DB0100" w:rsidRDefault="00DB0100" w:rsidP="00DB0100">
      <w:r>
        <w:t>2. Deze overeenkomst wordt getroffen voor onbepaalde tijd, maar wordt ten minste eens per vier jaar geëvalueerd door de gemeenteraden.</w:t>
      </w:r>
    </w:p>
    <w:p w14:paraId="59BA0E00" w14:textId="5EF50014" w:rsidR="00DB0100" w:rsidRPr="00DB0100" w:rsidRDefault="00DB0100" w:rsidP="00DB0100">
      <w:r>
        <w:t>3. Op deze overeenkomst is het Nederlands recht van toepassing.</w:t>
      </w:r>
    </w:p>
    <w:p w14:paraId="3B4474A6" w14:textId="6BC3462D" w:rsidR="003A14A6" w:rsidRDefault="003A14A6" w:rsidP="003A14A6"/>
    <w:p w14:paraId="3DC9737B" w14:textId="77777777" w:rsidR="00DB0100" w:rsidRPr="003A14A6" w:rsidRDefault="00DB0100" w:rsidP="003A14A6"/>
    <w:sectPr w:rsidR="00DB0100" w:rsidRPr="003A14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D3082"/>
    <w:multiLevelType w:val="hybridMultilevel"/>
    <w:tmpl w:val="F7AAED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41967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3E6"/>
    <w:rsid w:val="000127A6"/>
    <w:rsid w:val="00020944"/>
    <w:rsid w:val="00047E47"/>
    <w:rsid w:val="000775D6"/>
    <w:rsid w:val="000A2EB8"/>
    <w:rsid w:val="000C64AD"/>
    <w:rsid w:val="0012120D"/>
    <w:rsid w:val="0013182B"/>
    <w:rsid w:val="00154514"/>
    <w:rsid w:val="0016445B"/>
    <w:rsid w:val="0018426D"/>
    <w:rsid w:val="00196C83"/>
    <w:rsid w:val="001A6E2C"/>
    <w:rsid w:val="001B612E"/>
    <w:rsid w:val="001D127B"/>
    <w:rsid w:val="001D42E9"/>
    <w:rsid w:val="00213C96"/>
    <w:rsid w:val="00217941"/>
    <w:rsid w:val="00247333"/>
    <w:rsid w:val="002753FE"/>
    <w:rsid w:val="00281E5A"/>
    <w:rsid w:val="002C294A"/>
    <w:rsid w:val="002C7F4C"/>
    <w:rsid w:val="002D1DC9"/>
    <w:rsid w:val="002E19C8"/>
    <w:rsid w:val="00353418"/>
    <w:rsid w:val="00387836"/>
    <w:rsid w:val="003A14A6"/>
    <w:rsid w:val="003E313E"/>
    <w:rsid w:val="003F1F00"/>
    <w:rsid w:val="0045172C"/>
    <w:rsid w:val="004574DB"/>
    <w:rsid w:val="00461B0C"/>
    <w:rsid w:val="0047246A"/>
    <w:rsid w:val="004941E1"/>
    <w:rsid w:val="0049688D"/>
    <w:rsid w:val="004F102A"/>
    <w:rsid w:val="004F6FCE"/>
    <w:rsid w:val="00503039"/>
    <w:rsid w:val="00522081"/>
    <w:rsid w:val="0053699A"/>
    <w:rsid w:val="0056543B"/>
    <w:rsid w:val="005655F6"/>
    <w:rsid w:val="00567040"/>
    <w:rsid w:val="00570927"/>
    <w:rsid w:val="00570C52"/>
    <w:rsid w:val="005807B3"/>
    <w:rsid w:val="00590BFA"/>
    <w:rsid w:val="005C42AF"/>
    <w:rsid w:val="005C72E7"/>
    <w:rsid w:val="005C7349"/>
    <w:rsid w:val="005F4479"/>
    <w:rsid w:val="00600510"/>
    <w:rsid w:val="0063429C"/>
    <w:rsid w:val="006904AC"/>
    <w:rsid w:val="006909BF"/>
    <w:rsid w:val="006A56F2"/>
    <w:rsid w:val="006B0079"/>
    <w:rsid w:val="006C5806"/>
    <w:rsid w:val="006C5FDE"/>
    <w:rsid w:val="006C7892"/>
    <w:rsid w:val="006E3AFB"/>
    <w:rsid w:val="0077098B"/>
    <w:rsid w:val="007848FA"/>
    <w:rsid w:val="007849CB"/>
    <w:rsid w:val="0078523F"/>
    <w:rsid w:val="00785C64"/>
    <w:rsid w:val="00790F14"/>
    <w:rsid w:val="007A5B30"/>
    <w:rsid w:val="007F659E"/>
    <w:rsid w:val="00814132"/>
    <w:rsid w:val="00820433"/>
    <w:rsid w:val="00820FF4"/>
    <w:rsid w:val="008670CD"/>
    <w:rsid w:val="008A5676"/>
    <w:rsid w:val="008E11ED"/>
    <w:rsid w:val="008E1EA2"/>
    <w:rsid w:val="008E241D"/>
    <w:rsid w:val="008F01DC"/>
    <w:rsid w:val="008F14F7"/>
    <w:rsid w:val="0091646B"/>
    <w:rsid w:val="00931F92"/>
    <w:rsid w:val="009536F8"/>
    <w:rsid w:val="00962AED"/>
    <w:rsid w:val="009C0038"/>
    <w:rsid w:val="009F079A"/>
    <w:rsid w:val="00A4685F"/>
    <w:rsid w:val="00A810E5"/>
    <w:rsid w:val="00AB1AAF"/>
    <w:rsid w:val="00AB792B"/>
    <w:rsid w:val="00AD5702"/>
    <w:rsid w:val="00AF7CEA"/>
    <w:rsid w:val="00B406A8"/>
    <w:rsid w:val="00B53FAE"/>
    <w:rsid w:val="00BB6745"/>
    <w:rsid w:val="00BF4A8A"/>
    <w:rsid w:val="00C50396"/>
    <w:rsid w:val="00C5671F"/>
    <w:rsid w:val="00C73DBB"/>
    <w:rsid w:val="00CA2006"/>
    <w:rsid w:val="00CE7D46"/>
    <w:rsid w:val="00D300D9"/>
    <w:rsid w:val="00D310C6"/>
    <w:rsid w:val="00D65220"/>
    <w:rsid w:val="00D827A7"/>
    <w:rsid w:val="00D92EE7"/>
    <w:rsid w:val="00DB0100"/>
    <w:rsid w:val="00DC6F1E"/>
    <w:rsid w:val="00DE19FC"/>
    <w:rsid w:val="00DF1A8E"/>
    <w:rsid w:val="00E00C31"/>
    <w:rsid w:val="00E11A48"/>
    <w:rsid w:val="00EA2E7F"/>
    <w:rsid w:val="00ED07DC"/>
    <w:rsid w:val="00EF07FD"/>
    <w:rsid w:val="00F01C87"/>
    <w:rsid w:val="00F369BD"/>
    <w:rsid w:val="00F549EF"/>
    <w:rsid w:val="00F879B7"/>
    <w:rsid w:val="00FA6E9A"/>
    <w:rsid w:val="00FB63E6"/>
    <w:rsid w:val="00FD118E"/>
    <w:rsid w:val="00FD5618"/>
    <w:rsid w:val="00FF23C9"/>
    <w:rsid w:val="00FF72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7DD65"/>
  <w15:chartTrackingRefBased/>
  <w15:docId w15:val="{3D87872C-1E45-4914-9F3A-ED5E56B96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6C78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3A14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FB63E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B63E6"/>
    <w:rPr>
      <w:rFonts w:asciiTheme="majorHAnsi" w:eastAsiaTheme="majorEastAsia" w:hAnsiTheme="majorHAnsi" w:cstheme="majorBidi"/>
      <w:spacing w:val="-10"/>
      <w:kern w:val="28"/>
      <w:sz w:val="56"/>
      <w:szCs w:val="56"/>
    </w:rPr>
  </w:style>
  <w:style w:type="character" w:styleId="Verwijzingopmerking">
    <w:name w:val="annotation reference"/>
    <w:basedOn w:val="Standaardalinea-lettertype"/>
    <w:uiPriority w:val="99"/>
    <w:semiHidden/>
    <w:unhideWhenUsed/>
    <w:rsid w:val="004F102A"/>
    <w:rPr>
      <w:sz w:val="16"/>
      <w:szCs w:val="16"/>
    </w:rPr>
  </w:style>
  <w:style w:type="paragraph" w:styleId="Tekstopmerking">
    <w:name w:val="annotation text"/>
    <w:basedOn w:val="Standaard"/>
    <w:link w:val="TekstopmerkingChar"/>
    <w:uiPriority w:val="99"/>
    <w:unhideWhenUsed/>
    <w:rsid w:val="004F102A"/>
    <w:pPr>
      <w:spacing w:line="240" w:lineRule="auto"/>
    </w:pPr>
    <w:rPr>
      <w:sz w:val="20"/>
      <w:szCs w:val="20"/>
    </w:rPr>
  </w:style>
  <w:style w:type="character" w:customStyle="1" w:styleId="TekstopmerkingChar">
    <w:name w:val="Tekst opmerking Char"/>
    <w:basedOn w:val="Standaardalinea-lettertype"/>
    <w:link w:val="Tekstopmerking"/>
    <w:uiPriority w:val="99"/>
    <w:rsid w:val="004F102A"/>
    <w:rPr>
      <w:sz w:val="20"/>
      <w:szCs w:val="20"/>
    </w:rPr>
  </w:style>
  <w:style w:type="paragraph" w:styleId="Onderwerpvanopmerking">
    <w:name w:val="annotation subject"/>
    <w:basedOn w:val="Tekstopmerking"/>
    <w:next w:val="Tekstopmerking"/>
    <w:link w:val="OnderwerpvanopmerkingChar"/>
    <w:uiPriority w:val="99"/>
    <w:semiHidden/>
    <w:unhideWhenUsed/>
    <w:rsid w:val="004F102A"/>
    <w:rPr>
      <w:b/>
      <w:bCs/>
    </w:rPr>
  </w:style>
  <w:style w:type="character" w:customStyle="1" w:styleId="OnderwerpvanopmerkingChar">
    <w:name w:val="Onderwerp van opmerking Char"/>
    <w:basedOn w:val="TekstopmerkingChar"/>
    <w:link w:val="Onderwerpvanopmerking"/>
    <w:uiPriority w:val="99"/>
    <w:semiHidden/>
    <w:rsid w:val="004F102A"/>
    <w:rPr>
      <w:b/>
      <w:bCs/>
      <w:sz w:val="20"/>
      <w:szCs w:val="20"/>
    </w:rPr>
  </w:style>
  <w:style w:type="character" w:customStyle="1" w:styleId="Kop2Char">
    <w:name w:val="Kop 2 Char"/>
    <w:basedOn w:val="Standaardalinea-lettertype"/>
    <w:link w:val="Kop2"/>
    <w:uiPriority w:val="9"/>
    <w:rsid w:val="006C7892"/>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962AED"/>
    <w:pPr>
      <w:ind w:left="720"/>
      <w:contextualSpacing/>
    </w:pPr>
  </w:style>
  <w:style w:type="character" w:customStyle="1" w:styleId="Kop3Char">
    <w:name w:val="Kop 3 Char"/>
    <w:basedOn w:val="Standaardalinea-lettertype"/>
    <w:link w:val="Kop3"/>
    <w:uiPriority w:val="9"/>
    <w:rsid w:val="003A14A6"/>
    <w:rPr>
      <w:rFonts w:asciiTheme="majorHAnsi" w:eastAsiaTheme="majorEastAsia" w:hAnsiTheme="majorHAnsi" w:cstheme="majorBidi"/>
      <w:color w:val="1F3763" w:themeColor="accent1" w:themeShade="7F"/>
      <w:sz w:val="24"/>
      <w:szCs w:val="24"/>
    </w:rPr>
  </w:style>
  <w:style w:type="paragraph" w:styleId="Revisie">
    <w:name w:val="Revision"/>
    <w:hidden/>
    <w:uiPriority w:val="99"/>
    <w:semiHidden/>
    <w:rsid w:val="000C64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6d323d-4571-4a99-9598-6d2df3fab702" xsi:nil="true"/>
    <lcf76f155ced4ddcb4097134ff3c332f xmlns="731666c9-d1dd-481a-9f82-eb0c33a2ee0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EA8F845DBBA7408F34360953AC41B5" ma:contentTypeVersion="14" ma:contentTypeDescription="Een nieuw document maken." ma:contentTypeScope="" ma:versionID="3b7ebfde4096ba572bdf4e65dbad4289">
  <xsd:schema xmlns:xsd="http://www.w3.org/2001/XMLSchema" xmlns:xs="http://www.w3.org/2001/XMLSchema" xmlns:p="http://schemas.microsoft.com/office/2006/metadata/properties" xmlns:ns2="731666c9-d1dd-481a-9f82-eb0c33a2ee0f" xmlns:ns3="856d323d-4571-4a99-9598-6d2df3fab702" targetNamespace="http://schemas.microsoft.com/office/2006/metadata/properties" ma:root="true" ma:fieldsID="bf767e9505dc2d98aa7fe8c2b92b5de7" ns2:_="" ns3:_="">
    <xsd:import namespace="731666c9-d1dd-481a-9f82-eb0c33a2ee0f"/>
    <xsd:import namespace="856d323d-4571-4a99-9598-6d2df3fab70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LengthInSeconds" minOccurs="0"/>
                <xsd:element ref="ns2:MediaServiceObjectDetectorVersions" minOccurs="0"/>
                <xsd:element ref="ns2:MediaServiceDateTaken" minOccurs="0"/>
                <xsd:element ref="ns3:SharedWithUsers" minOccurs="0"/>
                <xsd:element ref="ns3:SharedWithDetail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666c9-d1dd-481a-9f82-eb0c33a2ee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4b61fda8-ca47-4c22-84be-e4056ee6c76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6d323d-4571-4a99-9598-6d2df3fab70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56f69f1-70aa-48e7-9b98-6756e8d2e9d3}" ma:internalName="TaxCatchAll" ma:showField="CatchAllData" ma:web="856d323d-4571-4a99-9598-6d2df3fab70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FECC8A-E5FA-4AEA-8A68-392FF1C41B47}">
  <ds:schemaRefs>
    <ds:schemaRef ds:uri="http://schemas.microsoft.com/office/2006/metadata/properties"/>
    <ds:schemaRef ds:uri="http://schemas.microsoft.com/office/infopath/2007/PartnerControls"/>
    <ds:schemaRef ds:uri="856d323d-4571-4a99-9598-6d2df3fab702"/>
    <ds:schemaRef ds:uri="731666c9-d1dd-481a-9f82-eb0c33a2ee0f"/>
  </ds:schemaRefs>
</ds:datastoreItem>
</file>

<file path=customXml/itemProps2.xml><?xml version="1.0" encoding="utf-8"?>
<ds:datastoreItem xmlns:ds="http://schemas.openxmlformats.org/officeDocument/2006/customXml" ds:itemID="{DCE9B005-9007-4EFB-ADD4-1A9BFBE1C694}">
  <ds:schemaRefs>
    <ds:schemaRef ds:uri="http://schemas.microsoft.com/sharepoint/v3/contenttype/forms"/>
  </ds:schemaRefs>
</ds:datastoreItem>
</file>

<file path=customXml/itemProps3.xml><?xml version="1.0" encoding="utf-8"?>
<ds:datastoreItem xmlns:ds="http://schemas.openxmlformats.org/officeDocument/2006/customXml" ds:itemID="{3C5E2064-76E1-46A7-BDC1-0223F1348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666c9-d1dd-481a-9f82-eb0c33a2ee0f"/>
    <ds:schemaRef ds:uri="856d323d-4571-4a99-9598-6d2df3fab7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1898</Words>
  <Characters>10441</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de Greef</dc:creator>
  <cp:keywords/>
  <dc:description/>
  <cp:lastModifiedBy>Rob de Greef</cp:lastModifiedBy>
  <cp:revision>4</cp:revision>
  <dcterms:created xsi:type="dcterms:W3CDTF">2025-03-18T13:30:00Z</dcterms:created>
  <dcterms:modified xsi:type="dcterms:W3CDTF">2025-03-27T00:57:00Z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0x010100B8EA8F845DBBA7408F34360953AC41B5</vt:lpwstr>
  </property>
</Properties>
</file>