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47010" w14:textId="2DFCF823" w:rsidR="00562408" w:rsidRDefault="00562408" w:rsidP="00562408">
      <w:pPr>
        <w:pStyle w:val="Kop1"/>
      </w:pPr>
      <w:r>
        <w:t>Algemene toelichting</w:t>
      </w:r>
    </w:p>
    <w:p w14:paraId="074555A2" w14:textId="45A2B5E4" w:rsidR="007067E8" w:rsidRDefault="00562408" w:rsidP="00562408">
      <w:r>
        <w:t>Bij de gemeente en de provincie beslissen sinds de dualisering het college van burgemeester en wethouders resp. gedeputeerde staten tot het aangaan van privaatrechtelijke overeenkomsten, zoals deze samenwerkingsovereenkomst (art. 160 lid 1 onder d Gemeentewet resp. art. 158 lid 1 onder d Provinciewet). Dat geldt dus ook voor deze samenwerkingsovereenkomst.</w:t>
      </w:r>
      <w:r w:rsidR="007067E8">
        <w:t xml:space="preserve"> Omdat het hier gaat om een zgn. </w:t>
      </w:r>
      <w:r w:rsidR="007067E8" w:rsidRPr="007067E8">
        <w:rPr>
          <w:i/>
          <w:iCs/>
        </w:rPr>
        <w:t>bevoegdhedenovereenkomst</w:t>
      </w:r>
      <w:r w:rsidR="007067E8">
        <w:t xml:space="preserve"> (een overeenkomst waarbij een overheidslichaam afspraken maakt over de uitoefening van zijn publiekrechtelijke bevoegdheden</w:t>
      </w:r>
      <w:r w:rsidR="007067E8">
        <w:rPr>
          <w:rStyle w:val="Voetnootmarkering"/>
        </w:rPr>
        <w:footnoteReference w:id="1"/>
      </w:r>
      <w:r w:rsidR="007067E8">
        <w:t>), ligt het voor de hand om ook de raden en provinciale staten expliciet in de besluitvorming te betrekken (al dan niet via wensen en bedenkingen van artikel 169 lid 4 resp. art. 167 lid 4 Provinciewet).</w:t>
      </w:r>
      <w:r>
        <w:t xml:space="preserve"> De burgemeester resp. de commissaris van de Koning ondertekent de samenwerkingsovereenkomst als vertegenwoordiger van de gemeente resp. de provincie als rechtspersoon (art. 171 Gemeentewet resp. art. </w:t>
      </w:r>
      <w:r w:rsidR="007067E8">
        <w:t>176 Provinciewet</w:t>
      </w:r>
      <w:r>
        <w:t xml:space="preserve">). </w:t>
      </w:r>
    </w:p>
    <w:p w14:paraId="6E22045F" w14:textId="6E1A6FF1" w:rsidR="00562408" w:rsidRDefault="00562408" w:rsidP="00562408">
      <w:r>
        <w:t>Bij het waterschap, dat niet gedualiseerd is, komt de bevoegdheid te beslissen tot privaatrechtelijke rechtshandelingen toe aan het algemeen bestuur</w:t>
      </w:r>
      <w:r w:rsidR="007067E8">
        <w:t xml:space="preserve"> (art. 77 Waterschapswet)</w:t>
      </w:r>
      <w:r>
        <w:t>, tenzij deze bevoegdheid expliciet is overgedragen aan het dagelijks bestuur</w:t>
      </w:r>
      <w:r w:rsidR="007067E8">
        <w:t xml:space="preserve"> (art. 83 Waterschapswet)</w:t>
      </w:r>
      <w:r>
        <w:t xml:space="preserve">. De voorzitter </w:t>
      </w:r>
      <w:r w:rsidR="007067E8">
        <w:t>ondertekent de samenwerkingsovereenkomst als vertegenwoordiger van het waterschap als rechtspersoon (art. 97 Waterschapswet).</w:t>
      </w:r>
    </w:p>
    <w:p w14:paraId="5C1B207B" w14:textId="285DFB86" w:rsidR="007067E8" w:rsidRDefault="007067E8" w:rsidP="00562408">
      <w:r>
        <w:t>Let op: de colleges van burgemeester en wethouders, gedeputeerde staten resp. het algemeen en/of dagelijks bestuur van het waterschap moeten wel mandaten verlenen aan de uitvoerende organisatie om te kunnen handelen. Dat is met deze samenwerkingsovereenkomst niet geregeld, nu mandaat expliciet bij mandaatbesluit moet worden verleend.</w:t>
      </w:r>
      <w:r>
        <w:rPr>
          <w:rStyle w:val="Voetnootmarkering"/>
        </w:rPr>
        <w:footnoteReference w:id="2"/>
      </w:r>
    </w:p>
    <w:p w14:paraId="6D945EAE" w14:textId="77777777" w:rsidR="007067E8" w:rsidRPr="00562408" w:rsidRDefault="007067E8" w:rsidP="00562408"/>
    <w:p w14:paraId="1BEC1A54" w14:textId="725FA7D5" w:rsidR="00562408" w:rsidRDefault="00562408" w:rsidP="00562408">
      <w:pPr>
        <w:pStyle w:val="Kop1"/>
      </w:pPr>
      <w:r>
        <w:t>Transponeringstabel</w:t>
      </w:r>
    </w:p>
    <w:p w14:paraId="44D62AEF" w14:textId="535F655C" w:rsidR="00562408" w:rsidRPr="00562408" w:rsidRDefault="00562408" w:rsidP="00562408">
      <w:r>
        <w:t>In de samenwerkingsovereenkomst (behoudens in de considerans) is steeds uitgegaan van de Gemeentewet. Hieronder is een transponeringstabel opgenomen om, indien nodig, aan te kunnen vullen met of te kunnen wijzigen in bepalingen uit de Provinciewet en de Waterschapswet.</w:t>
      </w:r>
    </w:p>
    <w:tbl>
      <w:tblPr>
        <w:tblStyle w:val="Rastertabel5donker-Accent2"/>
        <w:tblW w:w="0" w:type="auto"/>
        <w:tblLook w:val="04A0" w:firstRow="1" w:lastRow="0" w:firstColumn="1" w:lastColumn="0" w:noHBand="0" w:noVBand="1"/>
      </w:tblPr>
      <w:tblGrid>
        <w:gridCol w:w="3983"/>
        <w:gridCol w:w="1629"/>
        <w:gridCol w:w="1555"/>
        <w:gridCol w:w="1895"/>
      </w:tblGrid>
      <w:tr w:rsidR="00562408" w14:paraId="542B98A7" w14:textId="77777777" w:rsidTr="007067E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104" w:type="dxa"/>
          </w:tcPr>
          <w:p w14:paraId="18D4304A" w14:textId="1735DE9F" w:rsidR="00562408" w:rsidRDefault="00562408"/>
        </w:tc>
        <w:tc>
          <w:tcPr>
            <w:tcW w:w="1561" w:type="dxa"/>
          </w:tcPr>
          <w:p w14:paraId="1F4D4F7E" w14:textId="4D1B6B4A" w:rsidR="00562408" w:rsidRDefault="00562408" w:rsidP="00562408">
            <w:pPr>
              <w:jc w:val="center"/>
              <w:cnfStyle w:val="100000000000" w:firstRow="1" w:lastRow="0" w:firstColumn="0" w:lastColumn="0" w:oddVBand="0" w:evenVBand="0" w:oddHBand="0" w:evenHBand="0" w:firstRowFirstColumn="0" w:firstRowLastColumn="0" w:lastRowFirstColumn="0" w:lastRowLastColumn="0"/>
            </w:pPr>
            <w:r>
              <w:t>Gemeentewet</w:t>
            </w:r>
          </w:p>
        </w:tc>
        <w:tc>
          <w:tcPr>
            <w:tcW w:w="1560" w:type="dxa"/>
          </w:tcPr>
          <w:p w14:paraId="73EF489F" w14:textId="24326A20" w:rsidR="00562408" w:rsidRDefault="00562408" w:rsidP="00562408">
            <w:pPr>
              <w:jc w:val="center"/>
              <w:cnfStyle w:val="100000000000" w:firstRow="1" w:lastRow="0" w:firstColumn="0" w:lastColumn="0" w:oddVBand="0" w:evenVBand="0" w:oddHBand="0" w:evenHBand="0" w:firstRowFirstColumn="0" w:firstRowLastColumn="0" w:lastRowFirstColumn="0" w:lastRowLastColumn="0"/>
            </w:pPr>
            <w:r>
              <w:t>Provinciewet</w:t>
            </w:r>
          </w:p>
        </w:tc>
        <w:tc>
          <w:tcPr>
            <w:tcW w:w="1837" w:type="dxa"/>
          </w:tcPr>
          <w:p w14:paraId="3DC1F047" w14:textId="2F4965C5" w:rsidR="00562408" w:rsidRDefault="00562408" w:rsidP="00562408">
            <w:pPr>
              <w:jc w:val="center"/>
              <w:cnfStyle w:val="100000000000" w:firstRow="1" w:lastRow="0" w:firstColumn="0" w:lastColumn="0" w:oddVBand="0" w:evenVBand="0" w:oddHBand="0" w:evenHBand="0" w:firstRowFirstColumn="0" w:firstRowLastColumn="0" w:lastRowFirstColumn="0" w:lastRowLastColumn="0"/>
            </w:pPr>
            <w:r>
              <w:t>Waterschapswet</w:t>
            </w:r>
          </w:p>
        </w:tc>
      </w:tr>
      <w:tr w:rsidR="00EE283A" w14:paraId="0FDD591E" w14:textId="77777777" w:rsidTr="005624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4" w:type="dxa"/>
          </w:tcPr>
          <w:p w14:paraId="63BE9801" w14:textId="1FDA45E1" w:rsidR="00EE283A" w:rsidRDefault="00DE012A">
            <w:r>
              <w:t>Inwonertal</w:t>
            </w:r>
          </w:p>
        </w:tc>
        <w:tc>
          <w:tcPr>
            <w:tcW w:w="1561" w:type="dxa"/>
          </w:tcPr>
          <w:p w14:paraId="21DA45B1" w14:textId="13B79E76" w:rsidR="00EE283A" w:rsidRDefault="00DE012A" w:rsidP="00562408">
            <w:pPr>
              <w:jc w:val="center"/>
              <w:cnfStyle w:val="000000100000" w:firstRow="0" w:lastRow="0" w:firstColumn="0" w:lastColumn="0" w:oddVBand="0" w:evenVBand="0" w:oddHBand="1" w:evenHBand="0" w:firstRowFirstColumn="0" w:firstRowLastColumn="0" w:lastRowFirstColumn="0" w:lastRowLastColumn="0"/>
            </w:pPr>
            <w:r>
              <w:t>1</w:t>
            </w:r>
          </w:p>
        </w:tc>
        <w:tc>
          <w:tcPr>
            <w:tcW w:w="1560" w:type="dxa"/>
          </w:tcPr>
          <w:p w14:paraId="4DB05D49" w14:textId="0646C08E" w:rsidR="00EE283A" w:rsidRDefault="00DE012A" w:rsidP="00562408">
            <w:pPr>
              <w:jc w:val="center"/>
              <w:cnfStyle w:val="000000100000" w:firstRow="0" w:lastRow="0" w:firstColumn="0" w:lastColumn="0" w:oddVBand="0" w:evenVBand="0" w:oddHBand="1" w:evenHBand="0" w:firstRowFirstColumn="0" w:firstRowLastColumn="0" w:lastRowFirstColumn="0" w:lastRowLastColumn="0"/>
            </w:pPr>
            <w:r>
              <w:t>1</w:t>
            </w:r>
          </w:p>
        </w:tc>
        <w:tc>
          <w:tcPr>
            <w:tcW w:w="1837" w:type="dxa"/>
          </w:tcPr>
          <w:p w14:paraId="01F78607" w14:textId="6E6E5D2C" w:rsidR="00EE283A" w:rsidRDefault="00D310D4" w:rsidP="00562408">
            <w:pPr>
              <w:jc w:val="center"/>
              <w:cnfStyle w:val="000000100000" w:firstRow="0" w:lastRow="0" w:firstColumn="0" w:lastColumn="0" w:oddVBand="0" w:evenVBand="0" w:oddHBand="1" w:evenHBand="0" w:firstRowFirstColumn="0" w:firstRowLastColumn="0" w:lastRowFirstColumn="0" w:lastRowLastColumn="0"/>
            </w:pPr>
            <w:r>
              <w:t>n.v.t.</w:t>
            </w:r>
          </w:p>
        </w:tc>
      </w:tr>
      <w:tr w:rsidR="00562408" w14:paraId="53917E2D" w14:textId="77777777" w:rsidTr="00562408">
        <w:tc>
          <w:tcPr>
            <w:cnfStyle w:val="001000000000" w:firstRow="0" w:lastRow="0" w:firstColumn="1" w:lastColumn="0" w:oddVBand="0" w:evenVBand="0" w:oddHBand="0" w:evenHBand="0" w:firstRowFirstColumn="0" w:firstRowLastColumn="0" w:lastRowFirstColumn="0" w:lastRowLastColumn="0"/>
            <w:tcW w:w="4104" w:type="dxa"/>
          </w:tcPr>
          <w:p w14:paraId="278C15BD" w14:textId="0CF0EFA1" w:rsidR="00562408" w:rsidRDefault="00562408">
            <w:r>
              <w:t>Instellen rekenkamer</w:t>
            </w:r>
          </w:p>
        </w:tc>
        <w:tc>
          <w:tcPr>
            <w:tcW w:w="1561" w:type="dxa"/>
          </w:tcPr>
          <w:p w14:paraId="442AA9AF" w14:textId="0F1E6C1C" w:rsidR="00562408" w:rsidRDefault="00562408" w:rsidP="00562408">
            <w:pPr>
              <w:jc w:val="center"/>
              <w:cnfStyle w:val="000000000000" w:firstRow="0" w:lastRow="0" w:firstColumn="0" w:lastColumn="0" w:oddVBand="0" w:evenVBand="0" w:oddHBand="0" w:evenHBand="0" w:firstRowFirstColumn="0" w:firstRowLastColumn="0" w:lastRowFirstColumn="0" w:lastRowLastColumn="0"/>
            </w:pPr>
            <w:r>
              <w:t>81a</w:t>
            </w:r>
          </w:p>
        </w:tc>
        <w:tc>
          <w:tcPr>
            <w:tcW w:w="1560" w:type="dxa"/>
          </w:tcPr>
          <w:p w14:paraId="33BC76FE" w14:textId="27705F22" w:rsidR="00562408" w:rsidRDefault="00562408" w:rsidP="00562408">
            <w:pPr>
              <w:jc w:val="center"/>
              <w:cnfStyle w:val="000000000000" w:firstRow="0" w:lastRow="0" w:firstColumn="0" w:lastColumn="0" w:oddVBand="0" w:evenVBand="0" w:oddHBand="0" w:evenHBand="0" w:firstRowFirstColumn="0" w:firstRowLastColumn="0" w:lastRowFirstColumn="0" w:lastRowLastColumn="0"/>
            </w:pPr>
            <w:r>
              <w:t>79a</w:t>
            </w:r>
          </w:p>
        </w:tc>
        <w:tc>
          <w:tcPr>
            <w:tcW w:w="1837" w:type="dxa"/>
          </w:tcPr>
          <w:p w14:paraId="602DAEA3" w14:textId="650A7FD2" w:rsidR="00562408" w:rsidRDefault="00562408" w:rsidP="00562408">
            <w:pPr>
              <w:jc w:val="center"/>
              <w:cnfStyle w:val="000000000000" w:firstRow="0" w:lastRow="0" w:firstColumn="0" w:lastColumn="0" w:oddVBand="0" w:evenVBand="0" w:oddHBand="0" w:evenHBand="0" w:firstRowFirstColumn="0" w:firstRowLastColumn="0" w:lastRowFirstColumn="0" w:lastRowLastColumn="0"/>
            </w:pPr>
            <w:r>
              <w:t>51aa</w:t>
            </w:r>
          </w:p>
        </w:tc>
      </w:tr>
      <w:tr w:rsidR="00562408" w14:paraId="5E64EE90" w14:textId="77777777" w:rsidTr="005624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4" w:type="dxa"/>
          </w:tcPr>
          <w:p w14:paraId="0FA271D2" w14:textId="30C36D2C" w:rsidR="00562408" w:rsidRDefault="00562408">
            <w:r>
              <w:t>Aantal leden</w:t>
            </w:r>
            <w:r w:rsidR="00EE283A">
              <w:t xml:space="preserve"> rekenkamer</w:t>
            </w:r>
          </w:p>
        </w:tc>
        <w:tc>
          <w:tcPr>
            <w:tcW w:w="1561" w:type="dxa"/>
          </w:tcPr>
          <w:p w14:paraId="65F54739" w14:textId="6BDB8194" w:rsidR="00562408" w:rsidRDefault="00562408" w:rsidP="00562408">
            <w:pPr>
              <w:jc w:val="center"/>
              <w:cnfStyle w:val="000000100000" w:firstRow="0" w:lastRow="0" w:firstColumn="0" w:lastColumn="0" w:oddVBand="0" w:evenVBand="0" w:oddHBand="1" w:evenHBand="0" w:firstRowFirstColumn="0" w:firstRowLastColumn="0" w:lastRowFirstColumn="0" w:lastRowLastColumn="0"/>
            </w:pPr>
            <w:r>
              <w:t>81b</w:t>
            </w:r>
          </w:p>
        </w:tc>
        <w:tc>
          <w:tcPr>
            <w:tcW w:w="1560" w:type="dxa"/>
          </w:tcPr>
          <w:p w14:paraId="0DBA4FEB" w14:textId="231CEC61" w:rsidR="00562408" w:rsidRDefault="00562408" w:rsidP="00562408">
            <w:pPr>
              <w:jc w:val="center"/>
              <w:cnfStyle w:val="000000100000" w:firstRow="0" w:lastRow="0" w:firstColumn="0" w:lastColumn="0" w:oddVBand="0" w:evenVBand="0" w:oddHBand="1" w:evenHBand="0" w:firstRowFirstColumn="0" w:firstRowLastColumn="0" w:lastRowFirstColumn="0" w:lastRowLastColumn="0"/>
            </w:pPr>
            <w:r>
              <w:t>79b</w:t>
            </w:r>
          </w:p>
        </w:tc>
        <w:tc>
          <w:tcPr>
            <w:tcW w:w="1837" w:type="dxa"/>
          </w:tcPr>
          <w:p w14:paraId="3F98A7AA" w14:textId="44FC0B74" w:rsidR="00562408" w:rsidRDefault="00562408" w:rsidP="00562408">
            <w:pPr>
              <w:jc w:val="center"/>
              <w:cnfStyle w:val="000000100000" w:firstRow="0" w:lastRow="0" w:firstColumn="0" w:lastColumn="0" w:oddVBand="0" w:evenVBand="0" w:oddHBand="1" w:evenHBand="0" w:firstRowFirstColumn="0" w:firstRowLastColumn="0" w:lastRowFirstColumn="0" w:lastRowLastColumn="0"/>
            </w:pPr>
            <w:r>
              <w:t>51ab</w:t>
            </w:r>
          </w:p>
        </w:tc>
      </w:tr>
      <w:tr w:rsidR="00562408" w14:paraId="4B5616AC" w14:textId="77777777" w:rsidTr="00562408">
        <w:tc>
          <w:tcPr>
            <w:cnfStyle w:val="001000000000" w:firstRow="0" w:lastRow="0" w:firstColumn="1" w:lastColumn="0" w:oddVBand="0" w:evenVBand="0" w:oddHBand="0" w:evenHBand="0" w:firstRowFirstColumn="0" w:firstRowLastColumn="0" w:lastRowFirstColumn="0" w:lastRowLastColumn="0"/>
            <w:tcW w:w="4104" w:type="dxa"/>
          </w:tcPr>
          <w:p w14:paraId="6120E0EE" w14:textId="4111CF6C" w:rsidR="00562408" w:rsidRDefault="00562408">
            <w:r>
              <w:t>Benoeming, schorsing en ontslag</w:t>
            </w:r>
            <w:r w:rsidR="00EE283A">
              <w:t xml:space="preserve"> lid rekenkamer</w:t>
            </w:r>
          </w:p>
        </w:tc>
        <w:tc>
          <w:tcPr>
            <w:tcW w:w="1561" w:type="dxa"/>
          </w:tcPr>
          <w:p w14:paraId="4561E367" w14:textId="75A7D569" w:rsidR="00562408" w:rsidRDefault="00562408" w:rsidP="00562408">
            <w:pPr>
              <w:jc w:val="center"/>
              <w:cnfStyle w:val="000000000000" w:firstRow="0" w:lastRow="0" w:firstColumn="0" w:lastColumn="0" w:oddVBand="0" w:evenVBand="0" w:oddHBand="0" w:evenHBand="0" w:firstRowFirstColumn="0" w:firstRowLastColumn="0" w:lastRowFirstColumn="0" w:lastRowLastColumn="0"/>
            </w:pPr>
            <w:r>
              <w:t>81c</w:t>
            </w:r>
          </w:p>
        </w:tc>
        <w:tc>
          <w:tcPr>
            <w:tcW w:w="1560" w:type="dxa"/>
          </w:tcPr>
          <w:p w14:paraId="575DB132" w14:textId="186C7681" w:rsidR="00562408" w:rsidRDefault="00562408" w:rsidP="00562408">
            <w:pPr>
              <w:jc w:val="center"/>
              <w:cnfStyle w:val="000000000000" w:firstRow="0" w:lastRow="0" w:firstColumn="0" w:lastColumn="0" w:oddVBand="0" w:evenVBand="0" w:oddHBand="0" w:evenHBand="0" w:firstRowFirstColumn="0" w:firstRowLastColumn="0" w:lastRowFirstColumn="0" w:lastRowLastColumn="0"/>
            </w:pPr>
            <w:r>
              <w:t>79c</w:t>
            </w:r>
          </w:p>
        </w:tc>
        <w:tc>
          <w:tcPr>
            <w:tcW w:w="1837" w:type="dxa"/>
          </w:tcPr>
          <w:p w14:paraId="4063AFA5" w14:textId="2FFF3B50" w:rsidR="00562408" w:rsidRDefault="00562408" w:rsidP="00562408">
            <w:pPr>
              <w:jc w:val="center"/>
              <w:cnfStyle w:val="000000000000" w:firstRow="0" w:lastRow="0" w:firstColumn="0" w:lastColumn="0" w:oddVBand="0" w:evenVBand="0" w:oddHBand="0" w:evenHBand="0" w:firstRowFirstColumn="0" w:firstRowLastColumn="0" w:lastRowFirstColumn="0" w:lastRowLastColumn="0"/>
            </w:pPr>
            <w:r>
              <w:t>51ac</w:t>
            </w:r>
          </w:p>
        </w:tc>
      </w:tr>
      <w:tr w:rsidR="00562408" w14:paraId="36A68B47" w14:textId="77777777" w:rsidTr="005624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4" w:type="dxa"/>
          </w:tcPr>
          <w:p w14:paraId="40B09422" w14:textId="11497038" w:rsidR="00562408" w:rsidRDefault="00562408">
            <w:r>
              <w:t>Non-activiteit</w:t>
            </w:r>
            <w:r w:rsidR="00EE283A">
              <w:t xml:space="preserve"> lid rekenkamer</w:t>
            </w:r>
          </w:p>
        </w:tc>
        <w:tc>
          <w:tcPr>
            <w:tcW w:w="1561" w:type="dxa"/>
          </w:tcPr>
          <w:p w14:paraId="512FB969" w14:textId="2549D138" w:rsidR="00562408" w:rsidRDefault="00562408" w:rsidP="00562408">
            <w:pPr>
              <w:jc w:val="center"/>
              <w:cnfStyle w:val="000000100000" w:firstRow="0" w:lastRow="0" w:firstColumn="0" w:lastColumn="0" w:oddVBand="0" w:evenVBand="0" w:oddHBand="1" w:evenHBand="0" w:firstRowFirstColumn="0" w:firstRowLastColumn="0" w:lastRowFirstColumn="0" w:lastRowLastColumn="0"/>
            </w:pPr>
            <w:r>
              <w:t>81d</w:t>
            </w:r>
          </w:p>
        </w:tc>
        <w:tc>
          <w:tcPr>
            <w:tcW w:w="1560" w:type="dxa"/>
          </w:tcPr>
          <w:p w14:paraId="2EE8E1EA" w14:textId="5B289BF9" w:rsidR="00562408" w:rsidRDefault="00562408" w:rsidP="00562408">
            <w:pPr>
              <w:jc w:val="center"/>
              <w:cnfStyle w:val="000000100000" w:firstRow="0" w:lastRow="0" w:firstColumn="0" w:lastColumn="0" w:oddVBand="0" w:evenVBand="0" w:oddHBand="1" w:evenHBand="0" w:firstRowFirstColumn="0" w:firstRowLastColumn="0" w:lastRowFirstColumn="0" w:lastRowLastColumn="0"/>
            </w:pPr>
            <w:r>
              <w:t>79d</w:t>
            </w:r>
          </w:p>
        </w:tc>
        <w:tc>
          <w:tcPr>
            <w:tcW w:w="1837" w:type="dxa"/>
          </w:tcPr>
          <w:p w14:paraId="372F8FA5" w14:textId="2BBEFAA1" w:rsidR="00562408" w:rsidRDefault="00562408" w:rsidP="00562408">
            <w:pPr>
              <w:jc w:val="center"/>
              <w:cnfStyle w:val="000000100000" w:firstRow="0" w:lastRow="0" w:firstColumn="0" w:lastColumn="0" w:oddVBand="0" w:evenVBand="0" w:oddHBand="1" w:evenHBand="0" w:firstRowFirstColumn="0" w:firstRowLastColumn="0" w:lastRowFirstColumn="0" w:lastRowLastColumn="0"/>
            </w:pPr>
            <w:r>
              <w:t>51ad</w:t>
            </w:r>
          </w:p>
        </w:tc>
      </w:tr>
      <w:tr w:rsidR="00562408" w14:paraId="1C694A8D" w14:textId="77777777" w:rsidTr="00562408">
        <w:tc>
          <w:tcPr>
            <w:cnfStyle w:val="001000000000" w:firstRow="0" w:lastRow="0" w:firstColumn="1" w:lastColumn="0" w:oddVBand="0" w:evenVBand="0" w:oddHBand="0" w:evenHBand="0" w:firstRowFirstColumn="0" w:firstRowLastColumn="0" w:lastRowFirstColumn="0" w:lastRowLastColumn="0"/>
            <w:tcW w:w="4104" w:type="dxa"/>
          </w:tcPr>
          <w:p w14:paraId="2E39F092" w14:textId="5AEFF6CD" w:rsidR="00562408" w:rsidRDefault="00562408">
            <w:r>
              <w:t>Openbaarmaking functies</w:t>
            </w:r>
            <w:r w:rsidR="00EE283A">
              <w:t xml:space="preserve"> leden rekenkamer</w:t>
            </w:r>
          </w:p>
        </w:tc>
        <w:tc>
          <w:tcPr>
            <w:tcW w:w="1561" w:type="dxa"/>
          </w:tcPr>
          <w:p w14:paraId="7FCED957" w14:textId="317E6239" w:rsidR="00562408" w:rsidRDefault="00562408" w:rsidP="00562408">
            <w:pPr>
              <w:jc w:val="center"/>
              <w:cnfStyle w:val="000000000000" w:firstRow="0" w:lastRow="0" w:firstColumn="0" w:lastColumn="0" w:oddVBand="0" w:evenVBand="0" w:oddHBand="0" w:evenHBand="0" w:firstRowFirstColumn="0" w:firstRowLastColumn="0" w:lastRowFirstColumn="0" w:lastRowLastColumn="0"/>
            </w:pPr>
            <w:r>
              <w:t>81e</w:t>
            </w:r>
          </w:p>
        </w:tc>
        <w:tc>
          <w:tcPr>
            <w:tcW w:w="1560" w:type="dxa"/>
          </w:tcPr>
          <w:p w14:paraId="3D74E9AC" w14:textId="04C2CB7B" w:rsidR="00562408" w:rsidRDefault="00562408" w:rsidP="00562408">
            <w:pPr>
              <w:jc w:val="center"/>
              <w:cnfStyle w:val="000000000000" w:firstRow="0" w:lastRow="0" w:firstColumn="0" w:lastColumn="0" w:oddVBand="0" w:evenVBand="0" w:oddHBand="0" w:evenHBand="0" w:firstRowFirstColumn="0" w:firstRowLastColumn="0" w:lastRowFirstColumn="0" w:lastRowLastColumn="0"/>
            </w:pPr>
            <w:r>
              <w:t>79e</w:t>
            </w:r>
          </w:p>
        </w:tc>
        <w:tc>
          <w:tcPr>
            <w:tcW w:w="1837" w:type="dxa"/>
          </w:tcPr>
          <w:p w14:paraId="49354A1E" w14:textId="4B36D52B" w:rsidR="00562408" w:rsidRDefault="00562408" w:rsidP="00562408">
            <w:pPr>
              <w:jc w:val="center"/>
              <w:cnfStyle w:val="000000000000" w:firstRow="0" w:lastRow="0" w:firstColumn="0" w:lastColumn="0" w:oddVBand="0" w:evenVBand="0" w:oddHBand="0" w:evenHBand="0" w:firstRowFirstColumn="0" w:firstRowLastColumn="0" w:lastRowFirstColumn="0" w:lastRowLastColumn="0"/>
            </w:pPr>
            <w:r>
              <w:t>51ae</w:t>
            </w:r>
          </w:p>
        </w:tc>
      </w:tr>
      <w:tr w:rsidR="00562408" w14:paraId="07A9473D" w14:textId="77777777" w:rsidTr="005624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4" w:type="dxa"/>
          </w:tcPr>
          <w:p w14:paraId="0E5DBB0C" w14:textId="7F93E790" w:rsidR="00562408" w:rsidRDefault="00562408">
            <w:r>
              <w:t>Incompatibiliteiten</w:t>
            </w:r>
            <w:r w:rsidR="00EE283A">
              <w:t xml:space="preserve"> leden rekenkamer</w:t>
            </w:r>
          </w:p>
        </w:tc>
        <w:tc>
          <w:tcPr>
            <w:tcW w:w="1561" w:type="dxa"/>
          </w:tcPr>
          <w:p w14:paraId="3CDD7B33" w14:textId="56525399" w:rsidR="00562408" w:rsidRDefault="00562408" w:rsidP="00562408">
            <w:pPr>
              <w:jc w:val="center"/>
              <w:cnfStyle w:val="000000100000" w:firstRow="0" w:lastRow="0" w:firstColumn="0" w:lastColumn="0" w:oddVBand="0" w:evenVBand="0" w:oddHBand="1" w:evenHBand="0" w:firstRowFirstColumn="0" w:firstRowLastColumn="0" w:lastRowFirstColumn="0" w:lastRowLastColumn="0"/>
            </w:pPr>
            <w:r>
              <w:t>81f</w:t>
            </w:r>
          </w:p>
        </w:tc>
        <w:tc>
          <w:tcPr>
            <w:tcW w:w="1560" w:type="dxa"/>
          </w:tcPr>
          <w:p w14:paraId="17CC2414" w14:textId="4A3E2F5A" w:rsidR="00562408" w:rsidRDefault="00562408" w:rsidP="00562408">
            <w:pPr>
              <w:jc w:val="center"/>
              <w:cnfStyle w:val="000000100000" w:firstRow="0" w:lastRow="0" w:firstColumn="0" w:lastColumn="0" w:oddVBand="0" w:evenVBand="0" w:oddHBand="1" w:evenHBand="0" w:firstRowFirstColumn="0" w:firstRowLastColumn="0" w:lastRowFirstColumn="0" w:lastRowLastColumn="0"/>
            </w:pPr>
            <w:r>
              <w:t>79f</w:t>
            </w:r>
          </w:p>
        </w:tc>
        <w:tc>
          <w:tcPr>
            <w:tcW w:w="1837" w:type="dxa"/>
          </w:tcPr>
          <w:p w14:paraId="0D90D0DC" w14:textId="32A11691" w:rsidR="00562408" w:rsidRDefault="00562408" w:rsidP="00562408">
            <w:pPr>
              <w:jc w:val="center"/>
              <w:cnfStyle w:val="000000100000" w:firstRow="0" w:lastRow="0" w:firstColumn="0" w:lastColumn="0" w:oddVBand="0" w:evenVBand="0" w:oddHBand="1" w:evenHBand="0" w:firstRowFirstColumn="0" w:firstRowLastColumn="0" w:lastRowFirstColumn="0" w:lastRowLastColumn="0"/>
            </w:pPr>
            <w:r>
              <w:t>51af</w:t>
            </w:r>
          </w:p>
        </w:tc>
      </w:tr>
      <w:tr w:rsidR="00562408" w14:paraId="2CE7544F" w14:textId="77777777" w:rsidTr="00562408">
        <w:tc>
          <w:tcPr>
            <w:cnfStyle w:val="001000000000" w:firstRow="0" w:lastRow="0" w:firstColumn="1" w:lastColumn="0" w:oddVBand="0" w:evenVBand="0" w:oddHBand="0" w:evenHBand="0" w:firstRowFirstColumn="0" w:firstRowLastColumn="0" w:lastRowFirstColumn="0" w:lastRowLastColumn="0"/>
            <w:tcW w:w="4104" w:type="dxa"/>
          </w:tcPr>
          <w:p w14:paraId="38F6254E" w14:textId="012B36DD" w:rsidR="00562408" w:rsidRDefault="00562408">
            <w:r>
              <w:t>Eed</w:t>
            </w:r>
            <w:r w:rsidR="00EE283A">
              <w:t xml:space="preserve"> lid rekenkamer</w:t>
            </w:r>
          </w:p>
        </w:tc>
        <w:tc>
          <w:tcPr>
            <w:tcW w:w="1561" w:type="dxa"/>
          </w:tcPr>
          <w:p w14:paraId="5601E0E0" w14:textId="618A56C7" w:rsidR="00562408" w:rsidRDefault="00562408" w:rsidP="00562408">
            <w:pPr>
              <w:jc w:val="center"/>
              <w:cnfStyle w:val="000000000000" w:firstRow="0" w:lastRow="0" w:firstColumn="0" w:lastColumn="0" w:oddVBand="0" w:evenVBand="0" w:oddHBand="0" w:evenHBand="0" w:firstRowFirstColumn="0" w:firstRowLastColumn="0" w:lastRowFirstColumn="0" w:lastRowLastColumn="0"/>
            </w:pPr>
            <w:r>
              <w:t>81g</w:t>
            </w:r>
          </w:p>
        </w:tc>
        <w:tc>
          <w:tcPr>
            <w:tcW w:w="1560" w:type="dxa"/>
          </w:tcPr>
          <w:p w14:paraId="211CCC6A" w14:textId="0B5A6DD3" w:rsidR="00562408" w:rsidRDefault="00562408" w:rsidP="00562408">
            <w:pPr>
              <w:jc w:val="center"/>
              <w:cnfStyle w:val="000000000000" w:firstRow="0" w:lastRow="0" w:firstColumn="0" w:lastColumn="0" w:oddVBand="0" w:evenVBand="0" w:oddHBand="0" w:evenHBand="0" w:firstRowFirstColumn="0" w:firstRowLastColumn="0" w:lastRowFirstColumn="0" w:lastRowLastColumn="0"/>
            </w:pPr>
            <w:r>
              <w:t>79g</w:t>
            </w:r>
          </w:p>
        </w:tc>
        <w:tc>
          <w:tcPr>
            <w:tcW w:w="1837" w:type="dxa"/>
          </w:tcPr>
          <w:p w14:paraId="68DACC95" w14:textId="2FD1F4F4" w:rsidR="00562408" w:rsidRDefault="00562408" w:rsidP="00562408">
            <w:pPr>
              <w:jc w:val="center"/>
              <w:cnfStyle w:val="000000000000" w:firstRow="0" w:lastRow="0" w:firstColumn="0" w:lastColumn="0" w:oddVBand="0" w:evenVBand="0" w:oddHBand="0" w:evenHBand="0" w:firstRowFirstColumn="0" w:firstRowLastColumn="0" w:lastRowFirstColumn="0" w:lastRowLastColumn="0"/>
            </w:pPr>
            <w:r>
              <w:t>51ag</w:t>
            </w:r>
          </w:p>
        </w:tc>
      </w:tr>
      <w:tr w:rsidR="00562408" w14:paraId="4E2C8959" w14:textId="77777777" w:rsidTr="005624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4" w:type="dxa"/>
          </w:tcPr>
          <w:p w14:paraId="1891D6B5" w14:textId="425D5F9E" w:rsidR="00562408" w:rsidRDefault="00562408">
            <w:r>
              <w:lastRenderedPageBreak/>
              <w:t>Verboden handelingen</w:t>
            </w:r>
            <w:r w:rsidR="00EE283A">
              <w:t xml:space="preserve"> leden rekenkamer</w:t>
            </w:r>
          </w:p>
        </w:tc>
        <w:tc>
          <w:tcPr>
            <w:tcW w:w="1561" w:type="dxa"/>
          </w:tcPr>
          <w:p w14:paraId="2DE69115" w14:textId="27E5E7EF" w:rsidR="00562408" w:rsidRDefault="00562408" w:rsidP="00562408">
            <w:pPr>
              <w:jc w:val="center"/>
              <w:cnfStyle w:val="000000100000" w:firstRow="0" w:lastRow="0" w:firstColumn="0" w:lastColumn="0" w:oddVBand="0" w:evenVBand="0" w:oddHBand="1" w:evenHBand="0" w:firstRowFirstColumn="0" w:firstRowLastColumn="0" w:lastRowFirstColumn="0" w:lastRowLastColumn="0"/>
            </w:pPr>
            <w:r>
              <w:t>81h</w:t>
            </w:r>
          </w:p>
        </w:tc>
        <w:tc>
          <w:tcPr>
            <w:tcW w:w="1560" w:type="dxa"/>
          </w:tcPr>
          <w:p w14:paraId="0158965E" w14:textId="2CCA36F0" w:rsidR="00562408" w:rsidRDefault="00562408" w:rsidP="00562408">
            <w:pPr>
              <w:jc w:val="center"/>
              <w:cnfStyle w:val="000000100000" w:firstRow="0" w:lastRow="0" w:firstColumn="0" w:lastColumn="0" w:oddVBand="0" w:evenVBand="0" w:oddHBand="1" w:evenHBand="0" w:firstRowFirstColumn="0" w:firstRowLastColumn="0" w:lastRowFirstColumn="0" w:lastRowLastColumn="0"/>
            </w:pPr>
            <w:r>
              <w:t>79h</w:t>
            </w:r>
          </w:p>
        </w:tc>
        <w:tc>
          <w:tcPr>
            <w:tcW w:w="1837" w:type="dxa"/>
          </w:tcPr>
          <w:p w14:paraId="3E8D4F6B" w14:textId="40274786" w:rsidR="00562408" w:rsidRDefault="00562408" w:rsidP="00562408">
            <w:pPr>
              <w:jc w:val="center"/>
              <w:cnfStyle w:val="000000100000" w:firstRow="0" w:lastRow="0" w:firstColumn="0" w:lastColumn="0" w:oddVBand="0" w:evenVBand="0" w:oddHBand="1" w:evenHBand="0" w:firstRowFirstColumn="0" w:firstRowLastColumn="0" w:lastRowFirstColumn="0" w:lastRowLastColumn="0"/>
            </w:pPr>
            <w:r>
              <w:t>51ah</w:t>
            </w:r>
          </w:p>
        </w:tc>
      </w:tr>
      <w:tr w:rsidR="00562408" w14:paraId="02F40B2C" w14:textId="77777777" w:rsidTr="00562408">
        <w:tc>
          <w:tcPr>
            <w:cnfStyle w:val="001000000000" w:firstRow="0" w:lastRow="0" w:firstColumn="1" w:lastColumn="0" w:oddVBand="0" w:evenVBand="0" w:oddHBand="0" w:evenHBand="0" w:firstRowFirstColumn="0" w:firstRowLastColumn="0" w:lastRowFirstColumn="0" w:lastRowLastColumn="0"/>
            <w:tcW w:w="4104" w:type="dxa"/>
          </w:tcPr>
          <w:p w14:paraId="3E7FCE64" w14:textId="36E14442" w:rsidR="00562408" w:rsidRDefault="00562408">
            <w:r>
              <w:t>Reglement van orde</w:t>
            </w:r>
            <w:r w:rsidR="00EE283A">
              <w:t xml:space="preserve"> rekenkamer</w:t>
            </w:r>
          </w:p>
        </w:tc>
        <w:tc>
          <w:tcPr>
            <w:tcW w:w="1561" w:type="dxa"/>
          </w:tcPr>
          <w:p w14:paraId="481DAA38" w14:textId="4D1FE1C7" w:rsidR="00562408" w:rsidRDefault="00562408" w:rsidP="00562408">
            <w:pPr>
              <w:jc w:val="center"/>
              <w:cnfStyle w:val="000000000000" w:firstRow="0" w:lastRow="0" w:firstColumn="0" w:lastColumn="0" w:oddVBand="0" w:evenVBand="0" w:oddHBand="0" w:evenHBand="0" w:firstRowFirstColumn="0" w:firstRowLastColumn="0" w:lastRowFirstColumn="0" w:lastRowLastColumn="0"/>
            </w:pPr>
            <w:r>
              <w:t>81i</w:t>
            </w:r>
          </w:p>
        </w:tc>
        <w:tc>
          <w:tcPr>
            <w:tcW w:w="1560" w:type="dxa"/>
          </w:tcPr>
          <w:p w14:paraId="351802A8" w14:textId="356B5D7B" w:rsidR="00562408" w:rsidRDefault="00562408" w:rsidP="00562408">
            <w:pPr>
              <w:jc w:val="center"/>
              <w:cnfStyle w:val="000000000000" w:firstRow="0" w:lastRow="0" w:firstColumn="0" w:lastColumn="0" w:oddVBand="0" w:evenVBand="0" w:oddHBand="0" w:evenHBand="0" w:firstRowFirstColumn="0" w:firstRowLastColumn="0" w:lastRowFirstColumn="0" w:lastRowLastColumn="0"/>
            </w:pPr>
            <w:r>
              <w:t>79i</w:t>
            </w:r>
          </w:p>
        </w:tc>
        <w:tc>
          <w:tcPr>
            <w:tcW w:w="1837" w:type="dxa"/>
          </w:tcPr>
          <w:p w14:paraId="752AB87A" w14:textId="74F09A67" w:rsidR="00562408" w:rsidRDefault="00562408" w:rsidP="00562408">
            <w:pPr>
              <w:jc w:val="center"/>
              <w:cnfStyle w:val="000000000000" w:firstRow="0" w:lastRow="0" w:firstColumn="0" w:lastColumn="0" w:oddVBand="0" w:evenVBand="0" w:oddHBand="0" w:evenHBand="0" w:firstRowFirstColumn="0" w:firstRowLastColumn="0" w:lastRowFirstColumn="0" w:lastRowLastColumn="0"/>
            </w:pPr>
            <w:r>
              <w:t>51ai</w:t>
            </w:r>
          </w:p>
        </w:tc>
      </w:tr>
      <w:tr w:rsidR="00562408" w14:paraId="07F0F4F5" w14:textId="77777777" w:rsidTr="005624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4" w:type="dxa"/>
          </w:tcPr>
          <w:p w14:paraId="342EB35C" w14:textId="7211FD2E" w:rsidR="00562408" w:rsidRDefault="00562408">
            <w:r>
              <w:t>Middelen; arbeidsovereenkomsten</w:t>
            </w:r>
          </w:p>
        </w:tc>
        <w:tc>
          <w:tcPr>
            <w:tcW w:w="1561" w:type="dxa"/>
          </w:tcPr>
          <w:p w14:paraId="7EA3A995" w14:textId="3F073C95" w:rsidR="00562408" w:rsidRDefault="00562408" w:rsidP="00562408">
            <w:pPr>
              <w:jc w:val="center"/>
              <w:cnfStyle w:val="000000100000" w:firstRow="0" w:lastRow="0" w:firstColumn="0" w:lastColumn="0" w:oddVBand="0" w:evenVBand="0" w:oddHBand="1" w:evenHBand="0" w:firstRowFirstColumn="0" w:firstRowLastColumn="0" w:lastRowFirstColumn="0" w:lastRowLastColumn="0"/>
            </w:pPr>
            <w:r>
              <w:t>81j</w:t>
            </w:r>
          </w:p>
        </w:tc>
        <w:tc>
          <w:tcPr>
            <w:tcW w:w="1560" w:type="dxa"/>
          </w:tcPr>
          <w:p w14:paraId="67ADBF2C" w14:textId="0E84078F" w:rsidR="00562408" w:rsidRDefault="00562408" w:rsidP="00562408">
            <w:pPr>
              <w:jc w:val="center"/>
              <w:cnfStyle w:val="000000100000" w:firstRow="0" w:lastRow="0" w:firstColumn="0" w:lastColumn="0" w:oddVBand="0" w:evenVBand="0" w:oddHBand="1" w:evenHBand="0" w:firstRowFirstColumn="0" w:firstRowLastColumn="0" w:lastRowFirstColumn="0" w:lastRowLastColumn="0"/>
            </w:pPr>
            <w:r>
              <w:t>79j</w:t>
            </w:r>
          </w:p>
        </w:tc>
        <w:tc>
          <w:tcPr>
            <w:tcW w:w="1837" w:type="dxa"/>
          </w:tcPr>
          <w:p w14:paraId="0F8BF98B" w14:textId="33A89E78" w:rsidR="00562408" w:rsidRDefault="00562408" w:rsidP="00562408">
            <w:pPr>
              <w:jc w:val="center"/>
              <w:cnfStyle w:val="000000100000" w:firstRow="0" w:lastRow="0" w:firstColumn="0" w:lastColumn="0" w:oddVBand="0" w:evenVBand="0" w:oddHBand="1" w:evenHBand="0" w:firstRowFirstColumn="0" w:firstRowLastColumn="0" w:lastRowFirstColumn="0" w:lastRowLastColumn="0"/>
            </w:pPr>
            <w:r>
              <w:t>51aj</w:t>
            </w:r>
          </w:p>
        </w:tc>
      </w:tr>
      <w:tr w:rsidR="00562408" w14:paraId="0A5EA086" w14:textId="77777777" w:rsidTr="00562408">
        <w:tc>
          <w:tcPr>
            <w:cnfStyle w:val="001000000000" w:firstRow="0" w:lastRow="0" w:firstColumn="1" w:lastColumn="0" w:oddVBand="0" w:evenVBand="0" w:oddHBand="0" w:evenHBand="0" w:firstRowFirstColumn="0" w:firstRowLastColumn="0" w:lastRowFirstColumn="0" w:lastRowLastColumn="0"/>
            <w:tcW w:w="4104" w:type="dxa"/>
          </w:tcPr>
          <w:p w14:paraId="18BD1AE8" w14:textId="31FABF68" w:rsidR="00562408" w:rsidRDefault="00562408">
            <w:r>
              <w:t>Vergoeding aan leden</w:t>
            </w:r>
            <w:r w:rsidR="00EE283A">
              <w:t xml:space="preserve"> rekenkamer</w:t>
            </w:r>
          </w:p>
        </w:tc>
        <w:tc>
          <w:tcPr>
            <w:tcW w:w="1561" w:type="dxa"/>
          </w:tcPr>
          <w:p w14:paraId="29BDEB42" w14:textId="6B3463EA" w:rsidR="00562408" w:rsidRDefault="00562408" w:rsidP="00562408">
            <w:pPr>
              <w:jc w:val="center"/>
              <w:cnfStyle w:val="000000000000" w:firstRow="0" w:lastRow="0" w:firstColumn="0" w:lastColumn="0" w:oddVBand="0" w:evenVBand="0" w:oddHBand="0" w:evenHBand="0" w:firstRowFirstColumn="0" w:firstRowLastColumn="0" w:lastRowFirstColumn="0" w:lastRowLastColumn="0"/>
            </w:pPr>
            <w:r>
              <w:t>81k</w:t>
            </w:r>
          </w:p>
        </w:tc>
        <w:tc>
          <w:tcPr>
            <w:tcW w:w="1560" w:type="dxa"/>
          </w:tcPr>
          <w:p w14:paraId="75F7068F" w14:textId="7D4C3ED2" w:rsidR="00562408" w:rsidRDefault="00562408" w:rsidP="00562408">
            <w:pPr>
              <w:jc w:val="center"/>
              <w:cnfStyle w:val="000000000000" w:firstRow="0" w:lastRow="0" w:firstColumn="0" w:lastColumn="0" w:oddVBand="0" w:evenVBand="0" w:oddHBand="0" w:evenHBand="0" w:firstRowFirstColumn="0" w:firstRowLastColumn="0" w:lastRowFirstColumn="0" w:lastRowLastColumn="0"/>
            </w:pPr>
            <w:r>
              <w:t>79k</w:t>
            </w:r>
          </w:p>
        </w:tc>
        <w:tc>
          <w:tcPr>
            <w:tcW w:w="1837" w:type="dxa"/>
          </w:tcPr>
          <w:p w14:paraId="20C39602" w14:textId="464657C6" w:rsidR="00562408" w:rsidRDefault="00562408" w:rsidP="00562408">
            <w:pPr>
              <w:jc w:val="center"/>
              <w:cnfStyle w:val="000000000000" w:firstRow="0" w:lastRow="0" w:firstColumn="0" w:lastColumn="0" w:oddVBand="0" w:evenVBand="0" w:oddHBand="0" w:evenHBand="0" w:firstRowFirstColumn="0" w:firstRowLastColumn="0" w:lastRowFirstColumn="0" w:lastRowLastColumn="0"/>
            </w:pPr>
            <w:r>
              <w:t>51ak</w:t>
            </w:r>
          </w:p>
        </w:tc>
      </w:tr>
      <w:tr w:rsidR="000C7C02" w14:paraId="52D32434" w14:textId="77777777" w:rsidTr="005624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4" w:type="dxa"/>
          </w:tcPr>
          <w:p w14:paraId="6C8F6522" w14:textId="63A37CAF" w:rsidR="000C7C02" w:rsidRDefault="000C7C02">
            <w:r>
              <w:t>Beslissen tot privaatrechtelijke rechtshandeling</w:t>
            </w:r>
          </w:p>
        </w:tc>
        <w:tc>
          <w:tcPr>
            <w:tcW w:w="1561" w:type="dxa"/>
          </w:tcPr>
          <w:p w14:paraId="5427AF41" w14:textId="01015A84" w:rsidR="000C7C02" w:rsidRDefault="000C7C02" w:rsidP="00562408">
            <w:pPr>
              <w:jc w:val="center"/>
              <w:cnfStyle w:val="000000100000" w:firstRow="0" w:lastRow="0" w:firstColumn="0" w:lastColumn="0" w:oddVBand="0" w:evenVBand="0" w:oddHBand="1" w:evenHBand="0" w:firstRowFirstColumn="0" w:firstRowLastColumn="0" w:lastRowFirstColumn="0" w:lastRowLastColumn="0"/>
            </w:pPr>
            <w:r>
              <w:t>160 lid 1 onder d</w:t>
            </w:r>
          </w:p>
        </w:tc>
        <w:tc>
          <w:tcPr>
            <w:tcW w:w="1560" w:type="dxa"/>
          </w:tcPr>
          <w:p w14:paraId="117B2BA8" w14:textId="7E1273F5" w:rsidR="000C7C02" w:rsidRDefault="000C7C02" w:rsidP="00562408">
            <w:pPr>
              <w:jc w:val="center"/>
              <w:cnfStyle w:val="000000100000" w:firstRow="0" w:lastRow="0" w:firstColumn="0" w:lastColumn="0" w:oddVBand="0" w:evenVBand="0" w:oddHBand="1" w:evenHBand="0" w:firstRowFirstColumn="0" w:firstRowLastColumn="0" w:lastRowFirstColumn="0" w:lastRowLastColumn="0"/>
            </w:pPr>
            <w:r>
              <w:t>158 lid 1 onder d</w:t>
            </w:r>
          </w:p>
        </w:tc>
        <w:tc>
          <w:tcPr>
            <w:tcW w:w="1837" w:type="dxa"/>
          </w:tcPr>
          <w:p w14:paraId="3D4673BE" w14:textId="44BA678E" w:rsidR="000C7C02" w:rsidRDefault="002526FD" w:rsidP="00562408">
            <w:pPr>
              <w:jc w:val="center"/>
              <w:cnfStyle w:val="000000100000" w:firstRow="0" w:lastRow="0" w:firstColumn="0" w:lastColumn="0" w:oddVBand="0" w:evenVBand="0" w:oddHBand="1" w:evenHBand="0" w:firstRowFirstColumn="0" w:firstRowLastColumn="0" w:lastRowFirstColumn="0" w:lastRowLastColumn="0"/>
            </w:pPr>
            <w:r>
              <w:t>77 (al dan niet met 83)</w:t>
            </w:r>
          </w:p>
        </w:tc>
      </w:tr>
      <w:tr w:rsidR="000C7C02" w14:paraId="3BBDDFAD" w14:textId="77777777" w:rsidTr="00562408">
        <w:tc>
          <w:tcPr>
            <w:cnfStyle w:val="001000000000" w:firstRow="0" w:lastRow="0" w:firstColumn="1" w:lastColumn="0" w:oddVBand="0" w:evenVBand="0" w:oddHBand="0" w:evenHBand="0" w:firstRowFirstColumn="0" w:firstRowLastColumn="0" w:lastRowFirstColumn="0" w:lastRowLastColumn="0"/>
            <w:tcW w:w="4104" w:type="dxa"/>
          </w:tcPr>
          <w:p w14:paraId="0BE27306" w14:textId="71AE6245" w:rsidR="000C7C02" w:rsidRDefault="002526FD">
            <w:r>
              <w:t>Vertegenwoordiging bij rechtshandeling</w:t>
            </w:r>
          </w:p>
        </w:tc>
        <w:tc>
          <w:tcPr>
            <w:tcW w:w="1561" w:type="dxa"/>
          </w:tcPr>
          <w:p w14:paraId="09635B0A" w14:textId="2197FF61" w:rsidR="000C7C02" w:rsidRDefault="002526FD" w:rsidP="00562408">
            <w:pPr>
              <w:jc w:val="center"/>
              <w:cnfStyle w:val="000000000000" w:firstRow="0" w:lastRow="0" w:firstColumn="0" w:lastColumn="0" w:oddVBand="0" w:evenVBand="0" w:oddHBand="0" w:evenHBand="0" w:firstRowFirstColumn="0" w:firstRowLastColumn="0" w:lastRowFirstColumn="0" w:lastRowLastColumn="0"/>
            </w:pPr>
            <w:r>
              <w:t>171</w:t>
            </w:r>
          </w:p>
        </w:tc>
        <w:tc>
          <w:tcPr>
            <w:tcW w:w="1560" w:type="dxa"/>
          </w:tcPr>
          <w:p w14:paraId="43A84867" w14:textId="7C367B0D" w:rsidR="000C7C02" w:rsidRDefault="004354B2" w:rsidP="00562408">
            <w:pPr>
              <w:jc w:val="center"/>
              <w:cnfStyle w:val="000000000000" w:firstRow="0" w:lastRow="0" w:firstColumn="0" w:lastColumn="0" w:oddVBand="0" w:evenVBand="0" w:oddHBand="0" w:evenHBand="0" w:firstRowFirstColumn="0" w:firstRowLastColumn="0" w:lastRowFirstColumn="0" w:lastRowLastColumn="0"/>
            </w:pPr>
            <w:r>
              <w:t>176</w:t>
            </w:r>
          </w:p>
        </w:tc>
        <w:tc>
          <w:tcPr>
            <w:tcW w:w="1837" w:type="dxa"/>
          </w:tcPr>
          <w:p w14:paraId="29EE72FB" w14:textId="29541320" w:rsidR="000C7C02" w:rsidRDefault="004354B2" w:rsidP="00562408">
            <w:pPr>
              <w:jc w:val="center"/>
              <w:cnfStyle w:val="000000000000" w:firstRow="0" w:lastRow="0" w:firstColumn="0" w:lastColumn="0" w:oddVBand="0" w:evenVBand="0" w:oddHBand="0" w:evenHBand="0" w:firstRowFirstColumn="0" w:firstRowLastColumn="0" w:lastRowFirstColumn="0" w:lastRowLastColumn="0"/>
            </w:pPr>
            <w:r>
              <w:t>97</w:t>
            </w:r>
          </w:p>
        </w:tc>
      </w:tr>
      <w:tr w:rsidR="00562408" w14:paraId="22BD65F6" w14:textId="77777777" w:rsidTr="005624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4" w:type="dxa"/>
          </w:tcPr>
          <w:p w14:paraId="4C17182F" w14:textId="4724DE7E" w:rsidR="00562408" w:rsidRDefault="00562408">
            <w:r>
              <w:t>Taak</w:t>
            </w:r>
            <w:r w:rsidR="00BB60D4">
              <w:t xml:space="preserve"> rekenkamer</w:t>
            </w:r>
          </w:p>
        </w:tc>
        <w:tc>
          <w:tcPr>
            <w:tcW w:w="1561" w:type="dxa"/>
          </w:tcPr>
          <w:p w14:paraId="2D07B245" w14:textId="1153C183" w:rsidR="00562408" w:rsidRDefault="00562408" w:rsidP="00562408">
            <w:pPr>
              <w:jc w:val="center"/>
              <w:cnfStyle w:val="000000100000" w:firstRow="0" w:lastRow="0" w:firstColumn="0" w:lastColumn="0" w:oddVBand="0" w:evenVBand="0" w:oddHBand="1" w:evenHBand="0" w:firstRowFirstColumn="0" w:firstRowLastColumn="0" w:lastRowFirstColumn="0" w:lastRowLastColumn="0"/>
            </w:pPr>
            <w:r>
              <w:t>182</w:t>
            </w:r>
          </w:p>
        </w:tc>
        <w:tc>
          <w:tcPr>
            <w:tcW w:w="1560" w:type="dxa"/>
          </w:tcPr>
          <w:p w14:paraId="1B4EC9D3" w14:textId="6D9C74D7" w:rsidR="00562408" w:rsidRDefault="00562408" w:rsidP="00562408">
            <w:pPr>
              <w:jc w:val="center"/>
              <w:cnfStyle w:val="000000100000" w:firstRow="0" w:lastRow="0" w:firstColumn="0" w:lastColumn="0" w:oddVBand="0" w:evenVBand="0" w:oddHBand="1" w:evenHBand="0" w:firstRowFirstColumn="0" w:firstRowLastColumn="0" w:lastRowFirstColumn="0" w:lastRowLastColumn="0"/>
            </w:pPr>
            <w:r>
              <w:t>183</w:t>
            </w:r>
          </w:p>
        </w:tc>
        <w:tc>
          <w:tcPr>
            <w:tcW w:w="1837" w:type="dxa"/>
          </w:tcPr>
          <w:p w14:paraId="38A16571" w14:textId="518FDB67" w:rsidR="00562408" w:rsidRDefault="00562408" w:rsidP="00562408">
            <w:pPr>
              <w:jc w:val="center"/>
              <w:cnfStyle w:val="000000100000" w:firstRow="0" w:lastRow="0" w:firstColumn="0" w:lastColumn="0" w:oddVBand="0" w:evenVBand="0" w:oddHBand="1" w:evenHBand="0" w:firstRowFirstColumn="0" w:firstRowLastColumn="0" w:lastRowFirstColumn="0" w:lastRowLastColumn="0"/>
            </w:pPr>
            <w:r>
              <w:t>97a</w:t>
            </w:r>
          </w:p>
        </w:tc>
      </w:tr>
      <w:tr w:rsidR="00562408" w14:paraId="4E6BC28B" w14:textId="77777777" w:rsidTr="00562408">
        <w:tc>
          <w:tcPr>
            <w:cnfStyle w:val="001000000000" w:firstRow="0" w:lastRow="0" w:firstColumn="1" w:lastColumn="0" w:oddVBand="0" w:evenVBand="0" w:oddHBand="0" w:evenHBand="0" w:firstRowFirstColumn="0" w:firstRowLastColumn="0" w:lastRowFirstColumn="0" w:lastRowLastColumn="0"/>
            <w:tcW w:w="4104" w:type="dxa"/>
          </w:tcPr>
          <w:p w14:paraId="2EFFB7F9" w14:textId="5459D8D8" w:rsidR="00562408" w:rsidRDefault="00562408">
            <w:r>
              <w:t>Onderzoeksbevoegdheden</w:t>
            </w:r>
            <w:r w:rsidR="00BB60D4">
              <w:t xml:space="preserve"> rekenkamer</w:t>
            </w:r>
          </w:p>
        </w:tc>
        <w:tc>
          <w:tcPr>
            <w:tcW w:w="1561" w:type="dxa"/>
          </w:tcPr>
          <w:p w14:paraId="2341866D" w14:textId="3B16BCFC" w:rsidR="00562408" w:rsidRDefault="00562408" w:rsidP="00562408">
            <w:pPr>
              <w:jc w:val="center"/>
              <w:cnfStyle w:val="000000000000" w:firstRow="0" w:lastRow="0" w:firstColumn="0" w:lastColumn="0" w:oddVBand="0" w:evenVBand="0" w:oddHBand="0" w:evenHBand="0" w:firstRowFirstColumn="0" w:firstRowLastColumn="0" w:lastRowFirstColumn="0" w:lastRowLastColumn="0"/>
            </w:pPr>
            <w:r>
              <w:t>183</w:t>
            </w:r>
          </w:p>
        </w:tc>
        <w:tc>
          <w:tcPr>
            <w:tcW w:w="1560" w:type="dxa"/>
          </w:tcPr>
          <w:p w14:paraId="23CEDB91" w14:textId="4391DF1A" w:rsidR="00562408" w:rsidRDefault="00562408" w:rsidP="00562408">
            <w:pPr>
              <w:jc w:val="center"/>
              <w:cnfStyle w:val="000000000000" w:firstRow="0" w:lastRow="0" w:firstColumn="0" w:lastColumn="0" w:oddVBand="0" w:evenVBand="0" w:oddHBand="0" w:evenHBand="0" w:firstRowFirstColumn="0" w:firstRowLastColumn="0" w:lastRowFirstColumn="0" w:lastRowLastColumn="0"/>
            </w:pPr>
            <w:r>
              <w:t>184</w:t>
            </w:r>
          </w:p>
        </w:tc>
        <w:tc>
          <w:tcPr>
            <w:tcW w:w="1837" w:type="dxa"/>
          </w:tcPr>
          <w:p w14:paraId="51CA0697" w14:textId="714B13DD" w:rsidR="00562408" w:rsidRDefault="00562408" w:rsidP="00562408">
            <w:pPr>
              <w:jc w:val="center"/>
              <w:cnfStyle w:val="000000000000" w:firstRow="0" w:lastRow="0" w:firstColumn="0" w:lastColumn="0" w:oddVBand="0" w:evenVBand="0" w:oddHBand="0" w:evenHBand="0" w:firstRowFirstColumn="0" w:firstRowLastColumn="0" w:lastRowFirstColumn="0" w:lastRowLastColumn="0"/>
            </w:pPr>
            <w:r>
              <w:t>97b</w:t>
            </w:r>
          </w:p>
        </w:tc>
      </w:tr>
      <w:tr w:rsidR="00562408" w14:paraId="7BC2C762" w14:textId="77777777" w:rsidTr="005624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4" w:type="dxa"/>
          </w:tcPr>
          <w:p w14:paraId="73B60483" w14:textId="6752DC5D" w:rsidR="00562408" w:rsidRDefault="00562408">
            <w:r>
              <w:t>Bevoegdheden</w:t>
            </w:r>
            <w:r w:rsidR="00BB60D4">
              <w:t xml:space="preserve"> rekenkamer</w:t>
            </w:r>
            <w:r>
              <w:t xml:space="preserve"> t.a.v. verbonden partijen</w:t>
            </w:r>
          </w:p>
        </w:tc>
        <w:tc>
          <w:tcPr>
            <w:tcW w:w="1561" w:type="dxa"/>
          </w:tcPr>
          <w:p w14:paraId="28D816EB" w14:textId="30A077DC" w:rsidR="00562408" w:rsidRDefault="00562408" w:rsidP="00562408">
            <w:pPr>
              <w:jc w:val="center"/>
              <w:cnfStyle w:val="000000100000" w:firstRow="0" w:lastRow="0" w:firstColumn="0" w:lastColumn="0" w:oddVBand="0" w:evenVBand="0" w:oddHBand="1" w:evenHBand="0" w:firstRowFirstColumn="0" w:firstRowLastColumn="0" w:lastRowFirstColumn="0" w:lastRowLastColumn="0"/>
            </w:pPr>
            <w:r>
              <w:t>184</w:t>
            </w:r>
          </w:p>
        </w:tc>
        <w:tc>
          <w:tcPr>
            <w:tcW w:w="1560" w:type="dxa"/>
          </w:tcPr>
          <w:p w14:paraId="04F3FCA2" w14:textId="466E7AE0" w:rsidR="00562408" w:rsidRDefault="00562408" w:rsidP="00562408">
            <w:pPr>
              <w:jc w:val="center"/>
              <w:cnfStyle w:val="000000100000" w:firstRow="0" w:lastRow="0" w:firstColumn="0" w:lastColumn="0" w:oddVBand="0" w:evenVBand="0" w:oddHBand="1" w:evenHBand="0" w:firstRowFirstColumn="0" w:firstRowLastColumn="0" w:lastRowFirstColumn="0" w:lastRowLastColumn="0"/>
            </w:pPr>
            <w:r>
              <w:t>185</w:t>
            </w:r>
          </w:p>
        </w:tc>
        <w:tc>
          <w:tcPr>
            <w:tcW w:w="1837" w:type="dxa"/>
          </w:tcPr>
          <w:p w14:paraId="1F2F7C5D" w14:textId="359DEDB1" w:rsidR="00562408" w:rsidRDefault="00562408" w:rsidP="00562408">
            <w:pPr>
              <w:jc w:val="center"/>
              <w:cnfStyle w:val="000000100000" w:firstRow="0" w:lastRow="0" w:firstColumn="0" w:lastColumn="0" w:oddVBand="0" w:evenVBand="0" w:oddHBand="1" w:evenHBand="0" w:firstRowFirstColumn="0" w:firstRowLastColumn="0" w:lastRowFirstColumn="0" w:lastRowLastColumn="0"/>
            </w:pPr>
            <w:r>
              <w:t>97c</w:t>
            </w:r>
          </w:p>
        </w:tc>
      </w:tr>
      <w:tr w:rsidR="00562408" w14:paraId="2EEAA1A1" w14:textId="77777777" w:rsidTr="00562408">
        <w:tc>
          <w:tcPr>
            <w:cnfStyle w:val="001000000000" w:firstRow="0" w:lastRow="0" w:firstColumn="1" w:lastColumn="0" w:oddVBand="0" w:evenVBand="0" w:oddHBand="0" w:evenHBand="0" w:firstRowFirstColumn="0" w:firstRowLastColumn="0" w:lastRowFirstColumn="0" w:lastRowLastColumn="0"/>
            <w:tcW w:w="4104" w:type="dxa"/>
          </w:tcPr>
          <w:p w14:paraId="0ABDFBCD" w14:textId="26B75B0A" w:rsidR="00562408" w:rsidRDefault="00562408">
            <w:r>
              <w:t>Toezicht op naleving</w:t>
            </w:r>
          </w:p>
        </w:tc>
        <w:tc>
          <w:tcPr>
            <w:tcW w:w="1561" w:type="dxa"/>
          </w:tcPr>
          <w:p w14:paraId="357197BA" w14:textId="57F37166" w:rsidR="00562408" w:rsidRDefault="00562408" w:rsidP="00562408">
            <w:pPr>
              <w:jc w:val="center"/>
              <w:cnfStyle w:val="000000000000" w:firstRow="0" w:lastRow="0" w:firstColumn="0" w:lastColumn="0" w:oddVBand="0" w:evenVBand="0" w:oddHBand="0" w:evenHBand="0" w:firstRowFirstColumn="0" w:firstRowLastColumn="0" w:lastRowFirstColumn="0" w:lastRowLastColumn="0"/>
            </w:pPr>
            <w:r>
              <w:t>184a</w:t>
            </w:r>
          </w:p>
        </w:tc>
        <w:tc>
          <w:tcPr>
            <w:tcW w:w="1560" w:type="dxa"/>
          </w:tcPr>
          <w:p w14:paraId="61D69382" w14:textId="075F4959" w:rsidR="00562408" w:rsidRDefault="00562408" w:rsidP="00562408">
            <w:pPr>
              <w:jc w:val="center"/>
              <w:cnfStyle w:val="000000000000" w:firstRow="0" w:lastRow="0" w:firstColumn="0" w:lastColumn="0" w:oddVBand="0" w:evenVBand="0" w:oddHBand="0" w:evenHBand="0" w:firstRowFirstColumn="0" w:firstRowLastColumn="0" w:lastRowFirstColumn="0" w:lastRowLastColumn="0"/>
            </w:pPr>
            <w:r>
              <w:t>185a</w:t>
            </w:r>
          </w:p>
        </w:tc>
        <w:tc>
          <w:tcPr>
            <w:tcW w:w="1837" w:type="dxa"/>
          </w:tcPr>
          <w:p w14:paraId="7FE5D35D" w14:textId="1F07237F" w:rsidR="00562408" w:rsidRDefault="00562408" w:rsidP="00562408">
            <w:pPr>
              <w:jc w:val="center"/>
              <w:cnfStyle w:val="000000000000" w:firstRow="0" w:lastRow="0" w:firstColumn="0" w:lastColumn="0" w:oddVBand="0" w:evenVBand="0" w:oddHBand="0" w:evenHBand="0" w:firstRowFirstColumn="0" w:firstRowLastColumn="0" w:lastRowFirstColumn="0" w:lastRowLastColumn="0"/>
            </w:pPr>
            <w:r>
              <w:t>n.v.t.</w:t>
            </w:r>
          </w:p>
        </w:tc>
      </w:tr>
      <w:tr w:rsidR="00562408" w14:paraId="6C3A7763" w14:textId="77777777" w:rsidTr="005624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4" w:type="dxa"/>
          </w:tcPr>
          <w:p w14:paraId="1FBB7D50" w14:textId="4FC0751B" w:rsidR="00562408" w:rsidRDefault="00562408">
            <w:r>
              <w:t>Rapportage; jaarverslag</w:t>
            </w:r>
            <w:r w:rsidR="00BB60D4">
              <w:t xml:space="preserve"> rekenkamer</w:t>
            </w:r>
          </w:p>
        </w:tc>
        <w:tc>
          <w:tcPr>
            <w:tcW w:w="1561" w:type="dxa"/>
          </w:tcPr>
          <w:p w14:paraId="76C32FCA" w14:textId="5A59705E" w:rsidR="00562408" w:rsidRDefault="00562408" w:rsidP="00562408">
            <w:pPr>
              <w:jc w:val="center"/>
              <w:cnfStyle w:val="000000100000" w:firstRow="0" w:lastRow="0" w:firstColumn="0" w:lastColumn="0" w:oddVBand="0" w:evenVBand="0" w:oddHBand="1" w:evenHBand="0" w:firstRowFirstColumn="0" w:firstRowLastColumn="0" w:lastRowFirstColumn="0" w:lastRowLastColumn="0"/>
            </w:pPr>
            <w:r>
              <w:t>185</w:t>
            </w:r>
          </w:p>
        </w:tc>
        <w:tc>
          <w:tcPr>
            <w:tcW w:w="1560" w:type="dxa"/>
          </w:tcPr>
          <w:p w14:paraId="390D4E65" w14:textId="139E01AD" w:rsidR="00562408" w:rsidRDefault="00562408" w:rsidP="00562408">
            <w:pPr>
              <w:jc w:val="center"/>
              <w:cnfStyle w:val="000000100000" w:firstRow="0" w:lastRow="0" w:firstColumn="0" w:lastColumn="0" w:oddVBand="0" w:evenVBand="0" w:oddHBand="1" w:evenHBand="0" w:firstRowFirstColumn="0" w:firstRowLastColumn="0" w:lastRowFirstColumn="0" w:lastRowLastColumn="0"/>
            </w:pPr>
            <w:r>
              <w:t>186</w:t>
            </w:r>
          </w:p>
        </w:tc>
        <w:tc>
          <w:tcPr>
            <w:tcW w:w="1837" w:type="dxa"/>
          </w:tcPr>
          <w:p w14:paraId="4E8555D4" w14:textId="6362D1FB" w:rsidR="00562408" w:rsidRDefault="00562408" w:rsidP="00562408">
            <w:pPr>
              <w:jc w:val="center"/>
              <w:cnfStyle w:val="000000100000" w:firstRow="0" w:lastRow="0" w:firstColumn="0" w:lastColumn="0" w:oddVBand="0" w:evenVBand="0" w:oddHBand="1" w:evenHBand="0" w:firstRowFirstColumn="0" w:firstRowLastColumn="0" w:lastRowFirstColumn="0" w:lastRowLastColumn="0"/>
            </w:pPr>
            <w:r>
              <w:t>97d</w:t>
            </w:r>
          </w:p>
        </w:tc>
      </w:tr>
      <w:tr w:rsidR="00562408" w14:paraId="7B18C9A4" w14:textId="77777777" w:rsidTr="00562408">
        <w:tc>
          <w:tcPr>
            <w:cnfStyle w:val="001000000000" w:firstRow="0" w:lastRow="0" w:firstColumn="1" w:lastColumn="0" w:oddVBand="0" w:evenVBand="0" w:oddHBand="0" w:evenHBand="0" w:firstRowFirstColumn="0" w:firstRowLastColumn="0" w:lastRowFirstColumn="0" w:lastRowLastColumn="0"/>
            <w:tcW w:w="4104" w:type="dxa"/>
          </w:tcPr>
          <w:p w14:paraId="1B0223FC" w14:textId="35990640" w:rsidR="00562408" w:rsidRDefault="00562408">
            <w:r>
              <w:t>Opvolging</w:t>
            </w:r>
            <w:r w:rsidR="00BB60D4">
              <w:t xml:space="preserve"> onderzoeken</w:t>
            </w:r>
          </w:p>
        </w:tc>
        <w:tc>
          <w:tcPr>
            <w:tcW w:w="1561" w:type="dxa"/>
          </w:tcPr>
          <w:p w14:paraId="3C2B36DD" w14:textId="10FC79C9" w:rsidR="00562408" w:rsidRDefault="00562408" w:rsidP="00562408">
            <w:pPr>
              <w:jc w:val="center"/>
              <w:cnfStyle w:val="000000000000" w:firstRow="0" w:lastRow="0" w:firstColumn="0" w:lastColumn="0" w:oddVBand="0" w:evenVBand="0" w:oddHBand="0" w:evenHBand="0" w:firstRowFirstColumn="0" w:firstRowLastColumn="0" w:lastRowFirstColumn="0" w:lastRowLastColumn="0"/>
            </w:pPr>
            <w:r>
              <w:t>185a</w:t>
            </w:r>
          </w:p>
        </w:tc>
        <w:tc>
          <w:tcPr>
            <w:tcW w:w="1560" w:type="dxa"/>
          </w:tcPr>
          <w:p w14:paraId="60E49E97" w14:textId="13C3FBFA" w:rsidR="00562408" w:rsidRDefault="00562408" w:rsidP="00562408">
            <w:pPr>
              <w:jc w:val="center"/>
              <w:cnfStyle w:val="000000000000" w:firstRow="0" w:lastRow="0" w:firstColumn="0" w:lastColumn="0" w:oddVBand="0" w:evenVBand="0" w:oddHBand="0" w:evenHBand="0" w:firstRowFirstColumn="0" w:firstRowLastColumn="0" w:lastRowFirstColumn="0" w:lastRowLastColumn="0"/>
            </w:pPr>
            <w:r>
              <w:t>186a</w:t>
            </w:r>
          </w:p>
        </w:tc>
        <w:tc>
          <w:tcPr>
            <w:tcW w:w="1837" w:type="dxa"/>
          </w:tcPr>
          <w:p w14:paraId="3DA4ECAF" w14:textId="664C07B6" w:rsidR="00562408" w:rsidRDefault="00562408" w:rsidP="00562408">
            <w:pPr>
              <w:jc w:val="center"/>
              <w:cnfStyle w:val="000000000000" w:firstRow="0" w:lastRow="0" w:firstColumn="0" w:lastColumn="0" w:oddVBand="0" w:evenVBand="0" w:oddHBand="0" w:evenHBand="0" w:firstRowFirstColumn="0" w:firstRowLastColumn="0" w:lastRowFirstColumn="0" w:lastRowLastColumn="0"/>
            </w:pPr>
            <w:r>
              <w:t>97e</w:t>
            </w:r>
          </w:p>
        </w:tc>
      </w:tr>
    </w:tbl>
    <w:p w14:paraId="4A3A73F5" w14:textId="77777777" w:rsidR="0078523F" w:rsidRDefault="0078523F"/>
    <w:sectPr w:rsidR="0078523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0C98B" w14:textId="77777777" w:rsidR="00D4514B" w:rsidRDefault="00D4514B" w:rsidP="007067E8">
      <w:pPr>
        <w:spacing w:after="0" w:line="240" w:lineRule="auto"/>
      </w:pPr>
      <w:r>
        <w:separator/>
      </w:r>
    </w:p>
  </w:endnote>
  <w:endnote w:type="continuationSeparator" w:id="0">
    <w:p w14:paraId="6E481A5D" w14:textId="77777777" w:rsidR="00D4514B" w:rsidRDefault="00D4514B" w:rsidP="007067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B3D68" w14:textId="77777777" w:rsidR="00D4514B" w:rsidRDefault="00D4514B" w:rsidP="007067E8">
      <w:pPr>
        <w:spacing w:after="0" w:line="240" w:lineRule="auto"/>
      </w:pPr>
      <w:r>
        <w:separator/>
      </w:r>
    </w:p>
  </w:footnote>
  <w:footnote w:type="continuationSeparator" w:id="0">
    <w:p w14:paraId="28C6A37F" w14:textId="77777777" w:rsidR="00D4514B" w:rsidRDefault="00D4514B" w:rsidP="007067E8">
      <w:pPr>
        <w:spacing w:after="0" w:line="240" w:lineRule="auto"/>
      </w:pPr>
      <w:r>
        <w:continuationSeparator/>
      </w:r>
    </w:p>
  </w:footnote>
  <w:footnote w:id="1">
    <w:p w14:paraId="0E28C4C5" w14:textId="6A0039A7" w:rsidR="007067E8" w:rsidRPr="007067E8" w:rsidRDefault="007067E8">
      <w:pPr>
        <w:pStyle w:val="Voetnoottekst"/>
        <w:rPr>
          <w:sz w:val="18"/>
          <w:szCs w:val="18"/>
          <w:u w:val="single"/>
        </w:rPr>
      </w:pPr>
      <w:r w:rsidRPr="007067E8">
        <w:rPr>
          <w:rStyle w:val="Voetnootmarkering"/>
          <w:sz w:val="18"/>
          <w:szCs w:val="18"/>
        </w:rPr>
        <w:footnoteRef/>
      </w:r>
      <w:r w:rsidRPr="007067E8">
        <w:rPr>
          <w:sz w:val="18"/>
          <w:szCs w:val="18"/>
        </w:rPr>
        <w:t xml:space="preserve"> Vgl. HR 24 maart 2017, ECLI:NL:HR:2017:483 (</w:t>
      </w:r>
      <w:r w:rsidRPr="007067E8">
        <w:rPr>
          <w:i/>
          <w:iCs/>
          <w:sz w:val="18"/>
          <w:szCs w:val="18"/>
        </w:rPr>
        <w:t>Ruimte voor Ruimte II</w:t>
      </w:r>
      <w:r w:rsidRPr="007067E8">
        <w:rPr>
          <w:sz w:val="18"/>
          <w:szCs w:val="18"/>
        </w:rPr>
        <w:t>), ro. 3.5.2.</w:t>
      </w:r>
    </w:p>
  </w:footnote>
  <w:footnote w:id="2">
    <w:p w14:paraId="38870099" w14:textId="11C51785" w:rsidR="007067E8" w:rsidRPr="007067E8" w:rsidRDefault="007067E8">
      <w:pPr>
        <w:pStyle w:val="Voetnoottekst"/>
      </w:pPr>
      <w:r w:rsidRPr="007067E8">
        <w:rPr>
          <w:rStyle w:val="Voetnootmarkering"/>
          <w:sz w:val="18"/>
          <w:szCs w:val="18"/>
        </w:rPr>
        <w:footnoteRef/>
      </w:r>
      <w:r w:rsidRPr="007067E8">
        <w:rPr>
          <w:sz w:val="18"/>
          <w:szCs w:val="18"/>
        </w:rPr>
        <w:t xml:space="preserve"> Vgl. ABRvS 1 november 2017, ECLI:NL:RVS:2017:2930 (</w:t>
      </w:r>
      <w:r w:rsidRPr="007067E8">
        <w:rPr>
          <w:i/>
          <w:iCs/>
          <w:sz w:val="18"/>
          <w:szCs w:val="18"/>
        </w:rPr>
        <w:t>Urgentieverklaring Arnhem-Njmegen</w:t>
      </w:r>
      <w:r w:rsidRPr="007067E8">
        <w:rPr>
          <w:sz w:val="18"/>
          <w:szCs w:val="18"/>
        </w:rPr>
        <w:t>), ro. 4.1.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408"/>
    <w:rsid w:val="000775D6"/>
    <w:rsid w:val="000C7C02"/>
    <w:rsid w:val="002526FD"/>
    <w:rsid w:val="00304895"/>
    <w:rsid w:val="004354B2"/>
    <w:rsid w:val="00562408"/>
    <w:rsid w:val="007067E8"/>
    <w:rsid w:val="0078523F"/>
    <w:rsid w:val="00BB60D4"/>
    <w:rsid w:val="00D310D4"/>
    <w:rsid w:val="00D4514B"/>
    <w:rsid w:val="00DE012A"/>
    <w:rsid w:val="00EE283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2834B"/>
  <w15:chartTrackingRefBased/>
  <w15:docId w15:val="{AAE9AAFC-5929-4423-8365-5DD572AE1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624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624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6240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6240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6240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6240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6240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6240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6240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6240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6240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6240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6240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6240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6240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6240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6240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62408"/>
    <w:rPr>
      <w:rFonts w:eastAsiaTheme="majorEastAsia" w:cstheme="majorBidi"/>
      <w:color w:val="272727" w:themeColor="text1" w:themeTint="D8"/>
    </w:rPr>
  </w:style>
  <w:style w:type="paragraph" w:styleId="Titel">
    <w:name w:val="Title"/>
    <w:basedOn w:val="Standaard"/>
    <w:next w:val="Standaard"/>
    <w:link w:val="TitelChar"/>
    <w:uiPriority w:val="10"/>
    <w:qFormat/>
    <w:rsid w:val="005624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6240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6240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6240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6240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62408"/>
    <w:rPr>
      <w:i/>
      <w:iCs/>
      <w:color w:val="404040" w:themeColor="text1" w:themeTint="BF"/>
    </w:rPr>
  </w:style>
  <w:style w:type="paragraph" w:styleId="Lijstalinea">
    <w:name w:val="List Paragraph"/>
    <w:basedOn w:val="Standaard"/>
    <w:uiPriority w:val="34"/>
    <w:qFormat/>
    <w:rsid w:val="00562408"/>
    <w:pPr>
      <w:ind w:left="720"/>
      <w:contextualSpacing/>
    </w:pPr>
  </w:style>
  <w:style w:type="character" w:styleId="Intensievebenadrukking">
    <w:name w:val="Intense Emphasis"/>
    <w:basedOn w:val="Standaardalinea-lettertype"/>
    <w:uiPriority w:val="21"/>
    <w:qFormat/>
    <w:rsid w:val="00562408"/>
    <w:rPr>
      <w:i/>
      <w:iCs/>
      <w:color w:val="0F4761" w:themeColor="accent1" w:themeShade="BF"/>
    </w:rPr>
  </w:style>
  <w:style w:type="paragraph" w:styleId="Duidelijkcitaat">
    <w:name w:val="Intense Quote"/>
    <w:basedOn w:val="Standaard"/>
    <w:next w:val="Standaard"/>
    <w:link w:val="DuidelijkcitaatChar"/>
    <w:uiPriority w:val="30"/>
    <w:qFormat/>
    <w:rsid w:val="005624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62408"/>
    <w:rPr>
      <w:i/>
      <w:iCs/>
      <w:color w:val="0F4761" w:themeColor="accent1" w:themeShade="BF"/>
    </w:rPr>
  </w:style>
  <w:style w:type="character" w:styleId="Intensieveverwijzing">
    <w:name w:val="Intense Reference"/>
    <w:basedOn w:val="Standaardalinea-lettertype"/>
    <w:uiPriority w:val="32"/>
    <w:qFormat/>
    <w:rsid w:val="00562408"/>
    <w:rPr>
      <w:b/>
      <w:bCs/>
      <w:smallCaps/>
      <w:color w:val="0F4761" w:themeColor="accent1" w:themeShade="BF"/>
      <w:spacing w:val="5"/>
    </w:rPr>
  </w:style>
  <w:style w:type="table" w:styleId="Tabelraster">
    <w:name w:val="Table Grid"/>
    <w:basedOn w:val="Standaardtabel"/>
    <w:uiPriority w:val="39"/>
    <w:rsid w:val="005624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5donker-Accent2">
    <w:name w:val="Grid Table 5 Dark Accent 2"/>
    <w:basedOn w:val="Standaardtabel"/>
    <w:uiPriority w:val="50"/>
    <w:rsid w:val="0056240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E2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9713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9713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9713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97132" w:themeFill="accent2"/>
      </w:tcPr>
    </w:tblStylePr>
    <w:tblStylePr w:type="band1Vert">
      <w:tblPr/>
      <w:tcPr>
        <w:shd w:val="clear" w:color="auto" w:fill="F6C5AC" w:themeFill="accent2" w:themeFillTint="66"/>
      </w:tcPr>
    </w:tblStylePr>
    <w:tblStylePr w:type="band1Horz">
      <w:tblPr/>
      <w:tcPr>
        <w:shd w:val="clear" w:color="auto" w:fill="F6C5AC" w:themeFill="accent2" w:themeFillTint="66"/>
      </w:tcPr>
    </w:tblStylePr>
  </w:style>
  <w:style w:type="paragraph" w:styleId="Voetnoottekst">
    <w:name w:val="footnote text"/>
    <w:basedOn w:val="Standaard"/>
    <w:link w:val="VoetnoottekstChar"/>
    <w:uiPriority w:val="99"/>
    <w:semiHidden/>
    <w:unhideWhenUsed/>
    <w:rsid w:val="007067E8"/>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7067E8"/>
    <w:rPr>
      <w:sz w:val="20"/>
      <w:szCs w:val="20"/>
    </w:rPr>
  </w:style>
  <w:style w:type="character" w:styleId="Voetnootmarkering">
    <w:name w:val="footnote reference"/>
    <w:basedOn w:val="Standaardalinea-lettertype"/>
    <w:uiPriority w:val="99"/>
    <w:semiHidden/>
    <w:unhideWhenUsed/>
    <w:rsid w:val="007067E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465</Words>
  <Characters>2560</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de Greef</dc:creator>
  <cp:keywords/>
  <dc:description/>
  <cp:lastModifiedBy>Rob de Greef</cp:lastModifiedBy>
  <cp:revision>8</cp:revision>
  <dcterms:created xsi:type="dcterms:W3CDTF">2025-03-27T00:21:00Z</dcterms:created>
  <dcterms:modified xsi:type="dcterms:W3CDTF">2025-03-27T00:56:00Z</dcterms:modified>
</cp:coreProperties>
</file>