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77AB" w14:textId="77777777" w:rsidR="001E1C21" w:rsidRPr="001E1C21" w:rsidRDefault="001E1C21" w:rsidP="001E1C21"/>
    <w:p w14:paraId="42E3A2AE" w14:textId="77777777" w:rsidR="001E1C21" w:rsidRPr="001E1C21" w:rsidRDefault="001E1C21" w:rsidP="001E1C21"/>
    <w:p w14:paraId="31E4B299" w14:textId="77777777" w:rsidR="001E1C21" w:rsidRPr="001E1C21" w:rsidRDefault="001E1C21" w:rsidP="001E1C21"/>
    <w:p w14:paraId="2DA452B4" w14:textId="77777777" w:rsidR="001E1C21" w:rsidRPr="001E1C21" w:rsidRDefault="001E1C21" w:rsidP="001E1C21"/>
    <w:p w14:paraId="140582EF" w14:textId="77777777" w:rsidR="001E1C21" w:rsidRPr="001E1C21" w:rsidRDefault="001E1C21" w:rsidP="001E1C21"/>
    <w:p w14:paraId="327CBF80" w14:textId="77777777" w:rsidR="001E1C21" w:rsidRPr="001E1C21" w:rsidRDefault="001E1C21" w:rsidP="001E1C21"/>
    <w:p w14:paraId="76CB5F92" w14:textId="77777777" w:rsidR="001E1C21" w:rsidRPr="001E1C21" w:rsidRDefault="001E1C21" w:rsidP="001E1C21"/>
    <w:p w14:paraId="731E6E94" w14:textId="77777777" w:rsidR="001E1C21" w:rsidRPr="001E1C21" w:rsidRDefault="001E1C21" w:rsidP="001E1C21"/>
    <w:p w14:paraId="71851E6C" w14:textId="77777777" w:rsidR="001E1C21" w:rsidRPr="001E1C21" w:rsidRDefault="001E1C21" w:rsidP="001E1C21"/>
    <w:p w14:paraId="1AECFC6A" w14:textId="77777777" w:rsidR="001E1C21" w:rsidRPr="001E1C21" w:rsidRDefault="001E1C21" w:rsidP="001E1C21"/>
    <w:p w14:paraId="109C26A2" w14:textId="77777777" w:rsidR="001E1C21" w:rsidRPr="001E1C21" w:rsidRDefault="001E1C21" w:rsidP="001E1C21"/>
    <w:p w14:paraId="5182CA33" w14:textId="77777777" w:rsidR="001E1C21" w:rsidRPr="001E1C21" w:rsidRDefault="001E1C21" w:rsidP="001E1C21"/>
    <w:p w14:paraId="2193ECF5" w14:textId="77777777" w:rsidR="001E1C21" w:rsidRPr="001E1C21" w:rsidRDefault="001E1C21" w:rsidP="001E1C21"/>
    <w:p w14:paraId="42F63218" w14:textId="77777777" w:rsidR="001E1C21" w:rsidRPr="001E1C21" w:rsidRDefault="001E1C21" w:rsidP="001E1C21"/>
    <w:p w14:paraId="79EC9A4F" w14:textId="77777777" w:rsidR="001E1C21" w:rsidRPr="001E1C21" w:rsidRDefault="001E1C21" w:rsidP="001E1C21"/>
    <w:p w14:paraId="04E8AF81" w14:textId="77777777" w:rsidR="001E1C21" w:rsidRPr="001E1C21" w:rsidRDefault="001E1C21" w:rsidP="001E1C21"/>
    <w:p w14:paraId="6DA1A36E" w14:textId="77777777" w:rsidR="001E1C21" w:rsidRPr="001E1C21" w:rsidRDefault="001E1C21" w:rsidP="001E1C21"/>
    <w:p w14:paraId="6D079C4F" w14:textId="77777777" w:rsidR="001E1C21" w:rsidRPr="001E1C21" w:rsidRDefault="001E1C21" w:rsidP="001E1C21"/>
    <w:p w14:paraId="58046B86" w14:textId="77777777" w:rsidR="001E1C21" w:rsidRPr="001E1C21" w:rsidRDefault="001E1C21" w:rsidP="001E1C21"/>
    <w:p w14:paraId="3C9DD204" w14:textId="77777777" w:rsidR="001E1C21" w:rsidRPr="001E1C21" w:rsidRDefault="001E1C21" w:rsidP="001E1C21">
      <w:pPr>
        <w:rPr>
          <w:b/>
          <w:bCs/>
        </w:rPr>
      </w:pPr>
    </w:p>
    <w:p w14:paraId="0D8EB13B" w14:textId="77777777" w:rsidR="001E1C21" w:rsidRPr="001E1C21" w:rsidRDefault="001E1C21" w:rsidP="001E1C21">
      <w:pPr>
        <w:pStyle w:val="Kop1"/>
        <w:rPr>
          <w:b/>
          <w:bCs/>
          <w:sz w:val="56"/>
          <w:szCs w:val="56"/>
        </w:rPr>
      </w:pPr>
      <w:r w:rsidRPr="001E1C21">
        <w:rPr>
          <w:b/>
          <w:bCs/>
          <w:sz w:val="56"/>
          <w:szCs w:val="56"/>
        </w:rPr>
        <w:t xml:space="preserve">Reglement van orde </w:t>
      </w:r>
    </w:p>
    <w:p w14:paraId="3631ECBE" w14:textId="77777777" w:rsidR="001E1C21" w:rsidRPr="001E1C21" w:rsidRDefault="001E1C21" w:rsidP="001E1C21">
      <w:pPr>
        <w:pStyle w:val="Kop1"/>
        <w:rPr>
          <w:b/>
          <w:bCs/>
          <w:sz w:val="48"/>
          <w:szCs w:val="48"/>
        </w:rPr>
      </w:pPr>
    </w:p>
    <w:p w14:paraId="3453F35D" w14:textId="6609C2B1" w:rsidR="001E1C21" w:rsidRPr="001E1C21" w:rsidRDefault="001E1C21" w:rsidP="001E1C21">
      <w:pPr>
        <w:pStyle w:val="Kop1"/>
        <w:rPr>
          <w:b/>
          <w:bCs/>
          <w:sz w:val="40"/>
          <w:szCs w:val="40"/>
        </w:rPr>
      </w:pPr>
      <w:r w:rsidRPr="001E1C21">
        <w:rPr>
          <w:b/>
          <w:bCs/>
          <w:sz w:val="40"/>
          <w:szCs w:val="40"/>
        </w:rPr>
        <w:t xml:space="preserve">van de </w:t>
      </w:r>
      <w:r w:rsidR="003B411E">
        <w:rPr>
          <w:b/>
          <w:bCs/>
          <w:sz w:val="40"/>
          <w:szCs w:val="40"/>
        </w:rPr>
        <w:t>Rekenkamer</w:t>
      </w:r>
      <w:r w:rsidRPr="001E1C21">
        <w:rPr>
          <w:b/>
          <w:bCs/>
          <w:sz w:val="40"/>
          <w:szCs w:val="40"/>
        </w:rPr>
        <w:t xml:space="preserve"> [naam gemeente/</w:t>
      </w:r>
      <w:r w:rsidR="003B411E">
        <w:rPr>
          <w:b/>
          <w:bCs/>
          <w:sz w:val="40"/>
          <w:szCs w:val="40"/>
        </w:rPr>
        <w:t>Rekenkamer</w:t>
      </w:r>
      <w:r w:rsidRPr="001E1C21">
        <w:rPr>
          <w:b/>
          <w:bCs/>
          <w:sz w:val="40"/>
          <w:szCs w:val="40"/>
        </w:rPr>
        <w:t>]</w:t>
      </w:r>
    </w:p>
    <w:p w14:paraId="13AC156C" w14:textId="77777777" w:rsidR="001E1C21" w:rsidRPr="001E1C21" w:rsidRDefault="001E1C21" w:rsidP="001E1C21">
      <w:pPr>
        <w:rPr>
          <w:sz w:val="48"/>
          <w:szCs w:val="48"/>
        </w:rPr>
      </w:pPr>
    </w:p>
    <w:p w14:paraId="4BBE9385" w14:textId="77777777" w:rsidR="001E1C21" w:rsidRPr="001E1C21" w:rsidRDefault="001E1C21" w:rsidP="001E1C21"/>
    <w:p w14:paraId="692E3380" w14:textId="77777777" w:rsidR="001E1C21" w:rsidRPr="001E1C21" w:rsidRDefault="001E1C21" w:rsidP="001E1C21"/>
    <w:p w14:paraId="2C7A9BB4" w14:textId="77777777" w:rsidR="001E1C21" w:rsidRPr="001E1C21" w:rsidRDefault="001E1C21" w:rsidP="001E1C21"/>
    <w:p w14:paraId="76B418EF" w14:textId="77777777" w:rsidR="001E1C21" w:rsidRPr="001E1C21" w:rsidRDefault="001E1C21" w:rsidP="001E1C21"/>
    <w:p w14:paraId="762D9324" w14:textId="77777777" w:rsidR="001E1C21" w:rsidRPr="001E1C21" w:rsidRDefault="001E1C21" w:rsidP="001E1C21"/>
    <w:p w14:paraId="4D72B1E8" w14:textId="72002F7F" w:rsidR="001E1C21" w:rsidRPr="001E1C21" w:rsidRDefault="001E1C21" w:rsidP="001E1C21"/>
    <w:p w14:paraId="441FE56D" w14:textId="77777777" w:rsidR="001E1C21" w:rsidRPr="001E1C21" w:rsidRDefault="001E1C21" w:rsidP="001E1C21"/>
    <w:p w14:paraId="16B15FC4" w14:textId="77777777" w:rsidR="001E1C21" w:rsidRPr="001E1C21" w:rsidRDefault="001E1C21" w:rsidP="001E1C21"/>
    <w:p w14:paraId="2DB39B86" w14:textId="77777777" w:rsidR="001E1C21" w:rsidRPr="001E1C21" w:rsidRDefault="001E1C21" w:rsidP="001E1C21"/>
    <w:p w14:paraId="5E623BCB" w14:textId="77777777" w:rsidR="001E1C21" w:rsidRPr="001E1C21" w:rsidRDefault="001E1C21" w:rsidP="001E1C21"/>
    <w:p w14:paraId="799CCBF6" w14:textId="77777777" w:rsidR="001E1C21" w:rsidRPr="001E1C21" w:rsidRDefault="001E1C21" w:rsidP="001E1C21"/>
    <w:p w14:paraId="0F4987D1" w14:textId="77777777" w:rsidR="001E1C21" w:rsidRPr="001E1C21" w:rsidRDefault="001E1C21" w:rsidP="001E1C21"/>
    <w:p w14:paraId="475469D3" w14:textId="77777777" w:rsidR="001E1C21" w:rsidRPr="001E1C21" w:rsidRDefault="001E1C21" w:rsidP="001E1C21"/>
    <w:p w14:paraId="0C6C8D89" w14:textId="77777777" w:rsidR="001E1C21" w:rsidRPr="001E1C21" w:rsidRDefault="001E1C21" w:rsidP="001E1C21">
      <w:r w:rsidRPr="001E1C21">
        <w:br w:type="page"/>
      </w:r>
    </w:p>
    <w:p w14:paraId="3B7E77FE" w14:textId="6DA1F861" w:rsidR="001E1C21" w:rsidRPr="001E1C21" w:rsidRDefault="001E1C21" w:rsidP="001E1C21">
      <w:r w:rsidRPr="001E1C21">
        <w:lastRenderedPageBreak/>
        <w:t xml:space="preserve">Op grond van artikel 81i van de Gemeentewet, stelt de </w:t>
      </w:r>
      <w:r w:rsidR="003B411E">
        <w:t>Rekenkamer</w:t>
      </w:r>
      <w:r w:rsidRPr="001E1C21">
        <w:t xml:space="preserve"> als volgt vast: </w:t>
      </w:r>
    </w:p>
    <w:p w14:paraId="7DCE2017" w14:textId="77777777" w:rsidR="001E1C21" w:rsidRPr="001E1C21" w:rsidRDefault="001E1C21" w:rsidP="001E1C21"/>
    <w:p w14:paraId="67B203DF" w14:textId="6A603F34" w:rsidR="001E1C21" w:rsidRPr="008C103A" w:rsidRDefault="001E1C21" w:rsidP="001E1C21">
      <w:pPr>
        <w:rPr>
          <w:b/>
          <w:bCs/>
        </w:rPr>
      </w:pPr>
      <w:r w:rsidRPr="001E1C21">
        <w:rPr>
          <w:b/>
          <w:bCs/>
        </w:rPr>
        <w:t>Artikel 1 De vergaderingen</w:t>
      </w:r>
      <w:r w:rsidR="008C103A" w:rsidRPr="008C103A">
        <w:rPr>
          <w:b/>
          <w:bCs/>
        </w:rPr>
        <w:t xml:space="preserve">, </w:t>
      </w:r>
      <w:r w:rsidR="008C103A">
        <w:rPr>
          <w:b/>
          <w:bCs/>
        </w:rPr>
        <w:t>b</w:t>
      </w:r>
      <w:r w:rsidR="008C103A" w:rsidRPr="001E1C21">
        <w:rPr>
          <w:b/>
          <w:bCs/>
        </w:rPr>
        <w:t>eslotenheid en geheimhouding</w:t>
      </w:r>
    </w:p>
    <w:p w14:paraId="2CF94A10" w14:textId="77777777" w:rsidR="008C103A" w:rsidRDefault="008C103A" w:rsidP="008C103A">
      <w:pPr>
        <w:numPr>
          <w:ilvl w:val="0"/>
          <w:numId w:val="1"/>
        </w:numPr>
      </w:pPr>
      <w:r w:rsidRPr="001E1C21">
        <w:t xml:space="preserve">De vergaderingen van de </w:t>
      </w:r>
      <w:r>
        <w:t>Rekenkamer</w:t>
      </w:r>
      <w:r w:rsidRPr="001E1C21">
        <w:t xml:space="preserve"> worden in beslotenheid gehouden tenzij de </w:t>
      </w:r>
      <w:r>
        <w:t>Rekenkamer</w:t>
      </w:r>
      <w:r w:rsidRPr="001E1C21">
        <w:t xml:space="preserve"> anders besluit. De vergaderstukken van de </w:t>
      </w:r>
      <w:r>
        <w:t>Rekenkamer</w:t>
      </w:r>
      <w:r w:rsidRPr="001E1C21">
        <w:t xml:space="preserve"> zijn niet openbaar</w:t>
      </w:r>
      <w:r>
        <w:t>.</w:t>
      </w:r>
    </w:p>
    <w:p w14:paraId="729B1450" w14:textId="77777777" w:rsidR="008C103A" w:rsidRDefault="008C103A" w:rsidP="008C103A">
      <w:pPr>
        <w:numPr>
          <w:ilvl w:val="0"/>
          <w:numId w:val="1"/>
        </w:numPr>
      </w:pPr>
      <w:r>
        <w:t>De rapporten die de rekenkamer uitbrengt, alsmede het onderzoeksplan en jaarverslag zijn openbaar.</w:t>
      </w:r>
    </w:p>
    <w:p w14:paraId="42672C5C" w14:textId="296A8862" w:rsidR="008C103A" w:rsidRDefault="008C103A" w:rsidP="008C103A">
      <w:pPr>
        <w:numPr>
          <w:ilvl w:val="0"/>
          <w:numId w:val="1"/>
        </w:numPr>
      </w:pPr>
      <w:r w:rsidRPr="001E1C21">
        <w:t xml:space="preserve">De leden van de </w:t>
      </w:r>
      <w:r>
        <w:t>Rekenkamer</w:t>
      </w:r>
      <w:r w:rsidRPr="001E1C21">
        <w:t xml:space="preserve"> houden de informatie over de lopende onderzoeken en zaken die in de vergaderingen zijn besproken geheim. Deze geheimhouding geldt tevens voor de secretaris en anderen die de vergaderingen bijwonen. </w:t>
      </w:r>
      <w:r>
        <w:t>Communicatie over onderzoeken loopt, tenzij anders afgesproken, via de voorzitter.</w:t>
      </w:r>
    </w:p>
    <w:p w14:paraId="334B630C" w14:textId="64B3F610" w:rsidR="001E1C21" w:rsidRPr="001E1C21" w:rsidRDefault="001E1C21" w:rsidP="001E1C21">
      <w:pPr>
        <w:numPr>
          <w:ilvl w:val="0"/>
          <w:numId w:val="1"/>
        </w:numPr>
      </w:pPr>
      <w:r w:rsidRPr="001E1C21">
        <w:t xml:space="preserve">De </w:t>
      </w:r>
      <w:r w:rsidR="003B411E">
        <w:t>Rekenkamer</w:t>
      </w:r>
      <w:r w:rsidRPr="001E1C21">
        <w:t xml:space="preserve"> vergadert in de regel een keer per maand, met uitzondering van de vakantieperiode in de zomer. Wanneer de omstandigheden daartoe aanleiding geven kan de voorzitter extra vergaderingen uitschrijven. </w:t>
      </w:r>
    </w:p>
    <w:p w14:paraId="6E237F73" w14:textId="5271E210" w:rsidR="001E1C21" w:rsidRPr="001E1C21" w:rsidRDefault="001E1C21" w:rsidP="001E1C21">
      <w:pPr>
        <w:numPr>
          <w:ilvl w:val="0"/>
          <w:numId w:val="1"/>
        </w:numPr>
      </w:pPr>
      <w:r w:rsidRPr="001E1C21">
        <w:t>De voorzitter stelt de voorlopig</w:t>
      </w:r>
      <w:r w:rsidR="00DA379D">
        <w:t>e</w:t>
      </w:r>
      <w:r w:rsidRPr="001E1C21">
        <w:t xml:space="preserve"> agenda voor de vergaderingen van de </w:t>
      </w:r>
      <w:r w:rsidR="003B411E">
        <w:t>Rekenkamer</w:t>
      </w:r>
      <w:r w:rsidRPr="001E1C21">
        <w:t xml:space="preserve"> vast.</w:t>
      </w:r>
    </w:p>
    <w:p w14:paraId="62DD528A" w14:textId="6A460076" w:rsidR="001E1C21" w:rsidRPr="001E1C21" w:rsidRDefault="001E1C21" w:rsidP="001E1C21">
      <w:pPr>
        <w:numPr>
          <w:ilvl w:val="0"/>
          <w:numId w:val="1"/>
        </w:numPr>
      </w:pPr>
      <w:r w:rsidRPr="001E1C21">
        <w:t xml:space="preserve">De leden ontvangen </w:t>
      </w:r>
      <w:r w:rsidR="00DA379D">
        <w:t xml:space="preserve">de </w:t>
      </w:r>
      <w:r w:rsidRPr="001E1C21">
        <w:t xml:space="preserve">agenda en de bijbehorende stukken zoveel mogelijk uiterlijk een week voor de vergadering. </w:t>
      </w:r>
    </w:p>
    <w:p w14:paraId="5FB46A66" w14:textId="77777777" w:rsidR="001E1C21" w:rsidRPr="001E1C21" w:rsidRDefault="001E1C21" w:rsidP="001E1C21">
      <w:pPr>
        <w:numPr>
          <w:ilvl w:val="0"/>
          <w:numId w:val="1"/>
        </w:numPr>
      </w:pPr>
      <w:r w:rsidRPr="001E1C21">
        <w:t xml:space="preserve">Indien noodzakelijk kan de voorzitter besluiten voorafgaand aan de vergadering een aanvullende agenda en stukken toe te zenden. </w:t>
      </w:r>
    </w:p>
    <w:p w14:paraId="2762A4F8" w14:textId="71973266" w:rsidR="001E1C21" w:rsidRPr="001E1C21" w:rsidRDefault="001E1C21" w:rsidP="001E1C21">
      <w:pPr>
        <w:numPr>
          <w:ilvl w:val="0"/>
          <w:numId w:val="1"/>
        </w:numPr>
      </w:pPr>
      <w:r w:rsidRPr="001E1C21">
        <w:t>Een lid dat verhinderd is de vergadering bij te wonen, laat dit zo spoedig mogelijk voor aanvang van de vergadering aan de secretaris</w:t>
      </w:r>
      <w:r w:rsidR="008C103A">
        <w:t xml:space="preserve"> of voorzitter</w:t>
      </w:r>
      <w:r w:rsidRPr="001E1C21">
        <w:t xml:space="preserve"> weten.</w:t>
      </w:r>
    </w:p>
    <w:p w14:paraId="0E5F96BD" w14:textId="77777777" w:rsidR="001E1C21" w:rsidRPr="001E1C21" w:rsidRDefault="001E1C21" w:rsidP="001E1C21">
      <w:pPr>
        <w:numPr>
          <w:ilvl w:val="0"/>
          <w:numId w:val="1"/>
        </w:numPr>
      </w:pPr>
      <w:r w:rsidRPr="001E1C21">
        <w:t xml:space="preserve">Bij verhindering van meer dan de helft van de leden, wordt de vergadering geannuleerd of verplaatst. </w:t>
      </w:r>
    </w:p>
    <w:p w14:paraId="04267F92" w14:textId="79E5B239" w:rsidR="001E1C21" w:rsidRDefault="001E1C21" w:rsidP="001E1C21">
      <w:pPr>
        <w:numPr>
          <w:ilvl w:val="0"/>
          <w:numId w:val="1"/>
        </w:numPr>
      </w:pPr>
      <w:r w:rsidRPr="001E1C21">
        <w:t xml:space="preserve">Een lid dat </w:t>
      </w:r>
      <w:r w:rsidR="00CB280F">
        <w:t xml:space="preserve">later bij </w:t>
      </w:r>
      <w:r w:rsidRPr="001E1C21">
        <w:t xml:space="preserve">de vergadering </w:t>
      </w:r>
      <w:r w:rsidR="00893101">
        <w:t xml:space="preserve">aansluit </w:t>
      </w:r>
      <w:r w:rsidR="007B493F">
        <w:t xml:space="preserve">of </w:t>
      </w:r>
      <w:r w:rsidRPr="001E1C21">
        <w:t xml:space="preserve">vóór de sluiting </w:t>
      </w:r>
      <w:r w:rsidR="00F2310A">
        <w:t xml:space="preserve">de vergadering </w:t>
      </w:r>
      <w:r w:rsidRPr="001E1C21">
        <w:t xml:space="preserve">verlaat, </w:t>
      </w:r>
      <w:r w:rsidR="007B493F">
        <w:t xml:space="preserve">laat dit </w:t>
      </w:r>
      <w:r w:rsidR="00263034">
        <w:t xml:space="preserve">vooraf </w:t>
      </w:r>
      <w:r w:rsidR="007B493F">
        <w:t xml:space="preserve">aan de </w:t>
      </w:r>
      <w:r w:rsidRPr="001E1C21">
        <w:t>secretaris</w:t>
      </w:r>
      <w:r w:rsidR="007B493F">
        <w:t xml:space="preserve"> weten</w:t>
      </w:r>
      <w:r w:rsidRPr="001E1C21">
        <w:t xml:space="preserve">. Hiervan maakt de secretaris melding in het verslag. </w:t>
      </w:r>
    </w:p>
    <w:p w14:paraId="30926329" w14:textId="77777777" w:rsidR="008C103A" w:rsidRPr="001E1C21" w:rsidRDefault="008C103A" w:rsidP="008C103A">
      <w:pPr>
        <w:ind w:left="360"/>
      </w:pPr>
    </w:p>
    <w:p w14:paraId="53F8AC46" w14:textId="77777777" w:rsidR="001E1C21" w:rsidRPr="001E1C21" w:rsidRDefault="001E1C21" w:rsidP="001E1C21"/>
    <w:p w14:paraId="05F5E807" w14:textId="405C14A5" w:rsidR="001E1C21" w:rsidRPr="001E1C21" w:rsidRDefault="001E1C21" w:rsidP="001E1C21">
      <w:pPr>
        <w:rPr>
          <w:b/>
          <w:bCs/>
        </w:rPr>
      </w:pPr>
      <w:r w:rsidRPr="001E1C21">
        <w:rPr>
          <w:b/>
          <w:bCs/>
        </w:rPr>
        <w:t>Artikel 2 Overige deelnemers</w:t>
      </w:r>
    </w:p>
    <w:p w14:paraId="45D30BEA" w14:textId="3E6FCA20" w:rsidR="001E1C21" w:rsidRPr="001E1C21" w:rsidRDefault="00B45030" w:rsidP="001E1C21">
      <w:r>
        <w:t xml:space="preserve">De rekenkamer vergadert in beslotenheid, behalve wanneer anders wordt besloten. </w:t>
      </w:r>
      <w:r w:rsidR="001E1C21" w:rsidRPr="001E1C21">
        <w:t>De voorzitter kan</w:t>
      </w:r>
      <w:r>
        <w:t>, na overleg met de leden van de rekenkamer,</w:t>
      </w:r>
      <w:r w:rsidR="001E1C21" w:rsidRPr="001E1C21">
        <w:t xml:space="preserve"> een of meer derden uitnodigen om </w:t>
      </w:r>
      <w:r w:rsidR="00EF66BA">
        <w:t>(</w:t>
      </w:r>
      <w:r w:rsidR="001E1C21" w:rsidRPr="001E1C21">
        <w:t xml:space="preserve">een </w:t>
      </w:r>
      <w:r w:rsidR="00EF66BA">
        <w:t xml:space="preserve">deel van de) </w:t>
      </w:r>
      <w:r w:rsidR="001E1C21" w:rsidRPr="001E1C21">
        <w:t>vergadering bij te wonen en aan de beraadslagingen deel te nemen.</w:t>
      </w:r>
    </w:p>
    <w:p w14:paraId="4C7CF2C3" w14:textId="77777777" w:rsidR="001E1C21" w:rsidRDefault="001E1C21" w:rsidP="001E1C21"/>
    <w:p w14:paraId="31A7C7DF" w14:textId="350C73AC" w:rsidR="00DA19FA" w:rsidRPr="00DA19FA" w:rsidRDefault="00DA19FA" w:rsidP="001E1C21">
      <w:pPr>
        <w:rPr>
          <w:b/>
          <w:bCs/>
          <w:i/>
          <w:iCs/>
        </w:rPr>
      </w:pPr>
      <w:r>
        <w:rPr>
          <w:b/>
          <w:bCs/>
          <w:i/>
          <w:iCs/>
        </w:rPr>
        <w:t>Artikel 3 Samenwerking met de [Klankbordgroep/auditcommissie/andere benaming]</w:t>
      </w:r>
    </w:p>
    <w:p w14:paraId="7F407ED7" w14:textId="4FA15043" w:rsidR="00DA19FA" w:rsidRDefault="00DA19FA" w:rsidP="00DA19FA">
      <w:pPr>
        <w:pStyle w:val="Lijstalinea"/>
        <w:numPr>
          <w:ilvl w:val="0"/>
          <w:numId w:val="7"/>
        </w:numPr>
        <w:rPr>
          <w:i/>
          <w:iCs/>
        </w:rPr>
      </w:pPr>
      <w:r>
        <w:rPr>
          <w:i/>
          <w:iCs/>
        </w:rPr>
        <w:t xml:space="preserve">Op basis van de </w:t>
      </w:r>
      <w:r w:rsidR="00C7539D">
        <w:rPr>
          <w:i/>
          <w:iCs/>
        </w:rPr>
        <w:t>[</w:t>
      </w:r>
      <w:r>
        <w:rPr>
          <w:i/>
          <w:iCs/>
        </w:rPr>
        <w:t xml:space="preserve">verordening </w:t>
      </w:r>
      <w:r w:rsidR="00C7539D">
        <w:rPr>
          <w:i/>
          <w:iCs/>
        </w:rPr>
        <w:t>/gemeenschappelijke regeling</w:t>
      </w:r>
      <w:r w:rsidR="00B45030">
        <w:rPr>
          <w:i/>
          <w:iCs/>
        </w:rPr>
        <w:t>/een besluit in de raad</w:t>
      </w:r>
      <w:r w:rsidR="00C7539D">
        <w:rPr>
          <w:i/>
          <w:iCs/>
        </w:rPr>
        <w:t>]</w:t>
      </w:r>
      <w:r>
        <w:rPr>
          <w:i/>
          <w:iCs/>
        </w:rPr>
        <w:t xml:space="preserve"> </w:t>
      </w:r>
      <w:r w:rsidR="00C7539D">
        <w:rPr>
          <w:i/>
          <w:iCs/>
        </w:rPr>
        <w:t xml:space="preserve">op de rekenkamer </w:t>
      </w:r>
      <w:r>
        <w:rPr>
          <w:i/>
          <w:iCs/>
        </w:rPr>
        <w:t xml:space="preserve">wordt door de gemeenteraad een klankbordgroep ingesteld. </w:t>
      </w:r>
    </w:p>
    <w:p w14:paraId="345DB84A" w14:textId="3854ECB1" w:rsidR="00DA19FA" w:rsidRDefault="00DA19FA" w:rsidP="00DA19FA">
      <w:pPr>
        <w:pStyle w:val="Lijstalinea"/>
        <w:numPr>
          <w:ilvl w:val="0"/>
          <w:numId w:val="7"/>
        </w:numPr>
        <w:rPr>
          <w:i/>
          <w:iCs/>
        </w:rPr>
      </w:pPr>
      <w:r w:rsidRPr="00DA19FA">
        <w:rPr>
          <w:i/>
          <w:iCs/>
        </w:rPr>
        <w:t xml:space="preserve">De </w:t>
      </w:r>
      <w:r>
        <w:rPr>
          <w:i/>
          <w:iCs/>
        </w:rPr>
        <w:t>klankbordgroep</w:t>
      </w:r>
      <w:r w:rsidRPr="00DA19FA">
        <w:rPr>
          <w:i/>
          <w:iCs/>
        </w:rPr>
        <w:t xml:space="preserve"> bestaat uit </w:t>
      </w:r>
      <w:r>
        <w:rPr>
          <w:i/>
          <w:iCs/>
        </w:rPr>
        <w:t>[aantal]</w:t>
      </w:r>
      <w:r w:rsidRPr="00DA19FA">
        <w:rPr>
          <w:i/>
          <w:iCs/>
        </w:rPr>
        <w:t xml:space="preserve"> raadsleden, </w:t>
      </w:r>
      <w:r>
        <w:rPr>
          <w:i/>
          <w:iCs/>
        </w:rPr>
        <w:t>[invullen waaruit afkomstig bijvoorbeeld audit commissie oppositie/coalitie e.d.]</w:t>
      </w:r>
      <w:r w:rsidRPr="00DA19FA">
        <w:rPr>
          <w:i/>
          <w:iCs/>
        </w:rPr>
        <w:t xml:space="preserve"> en </w:t>
      </w:r>
      <w:r>
        <w:rPr>
          <w:i/>
          <w:iCs/>
        </w:rPr>
        <w:t>[aantal]</w:t>
      </w:r>
      <w:r w:rsidRPr="00DA19FA">
        <w:rPr>
          <w:i/>
          <w:iCs/>
        </w:rPr>
        <w:t xml:space="preserve"> plaatsvervangende leden.</w:t>
      </w:r>
    </w:p>
    <w:p w14:paraId="15290C1B" w14:textId="77777777" w:rsidR="00DA19FA" w:rsidRDefault="00DA19FA" w:rsidP="00DA19FA">
      <w:pPr>
        <w:pStyle w:val="Lijstalinea"/>
        <w:numPr>
          <w:ilvl w:val="0"/>
          <w:numId w:val="7"/>
        </w:numPr>
        <w:rPr>
          <w:i/>
          <w:iCs/>
        </w:rPr>
      </w:pPr>
      <w:r w:rsidRPr="00DA19FA">
        <w:rPr>
          <w:i/>
          <w:iCs/>
        </w:rPr>
        <w:t xml:space="preserve">De </w:t>
      </w:r>
      <w:r>
        <w:rPr>
          <w:i/>
          <w:iCs/>
        </w:rPr>
        <w:t>klankbordgroep</w:t>
      </w:r>
      <w:r w:rsidRPr="00DA19FA">
        <w:rPr>
          <w:i/>
          <w:iCs/>
        </w:rPr>
        <w:t xml:space="preserve"> heeft de volgende taken: </w:t>
      </w:r>
    </w:p>
    <w:p w14:paraId="46A6CD27" w14:textId="77777777" w:rsidR="00C7539D" w:rsidRDefault="00C7539D" w:rsidP="00C7539D">
      <w:pPr>
        <w:pStyle w:val="Lijstalinea"/>
        <w:numPr>
          <w:ilvl w:val="1"/>
          <w:numId w:val="7"/>
        </w:numPr>
        <w:rPr>
          <w:i/>
          <w:iCs/>
        </w:rPr>
      </w:pPr>
      <w:r w:rsidRPr="00DA19FA">
        <w:rPr>
          <w:i/>
          <w:iCs/>
        </w:rPr>
        <w:t>Het onderhouden van contacten met de rekenkamer.</w:t>
      </w:r>
    </w:p>
    <w:p w14:paraId="404D10C4" w14:textId="06FBE8B5" w:rsidR="008C103A" w:rsidRDefault="008C103A" w:rsidP="00C7539D">
      <w:pPr>
        <w:pStyle w:val="Lijstalinea"/>
        <w:numPr>
          <w:ilvl w:val="1"/>
          <w:numId w:val="7"/>
        </w:numPr>
        <w:rPr>
          <w:i/>
          <w:iCs/>
        </w:rPr>
      </w:pPr>
      <w:r>
        <w:rPr>
          <w:i/>
          <w:iCs/>
        </w:rPr>
        <w:t>Klankborden met de rekenkamer over thema`s die leven in de raad als mogelijk onderzoeksonderwerp en over lopende onderwerpen.</w:t>
      </w:r>
    </w:p>
    <w:p w14:paraId="75E4BE61" w14:textId="68256A32" w:rsidR="00DA19FA" w:rsidRDefault="00DA19FA" w:rsidP="00DA19FA">
      <w:pPr>
        <w:pStyle w:val="Lijstalinea"/>
        <w:numPr>
          <w:ilvl w:val="1"/>
          <w:numId w:val="7"/>
        </w:numPr>
        <w:rPr>
          <w:i/>
          <w:iCs/>
        </w:rPr>
      </w:pPr>
      <w:r>
        <w:rPr>
          <w:i/>
          <w:iCs/>
        </w:rPr>
        <w:t>In gezamenlijkheid met de rekenkamer vormgeven en begeleiden van de wervingsprocedure voor leden en voorzitter van de rekenkamer.</w:t>
      </w:r>
    </w:p>
    <w:p w14:paraId="33F67D75" w14:textId="046C4B41" w:rsidR="008C103A" w:rsidRPr="008C103A" w:rsidRDefault="008C103A" w:rsidP="008C103A">
      <w:pPr>
        <w:pStyle w:val="Lijstalinea"/>
        <w:numPr>
          <w:ilvl w:val="2"/>
          <w:numId w:val="7"/>
        </w:numPr>
        <w:rPr>
          <w:i/>
          <w:iCs/>
        </w:rPr>
      </w:pPr>
      <w:r w:rsidRPr="008C103A">
        <w:rPr>
          <w:i/>
          <w:iCs/>
        </w:rPr>
        <w:t>De rekenkamer wordt</w:t>
      </w:r>
      <w:r>
        <w:rPr>
          <w:i/>
          <w:iCs/>
        </w:rPr>
        <w:t xml:space="preserve"> minimaal</w:t>
      </w:r>
      <w:r w:rsidRPr="008C103A">
        <w:rPr>
          <w:i/>
          <w:iCs/>
        </w:rPr>
        <w:t xml:space="preserve"> betrokken bij het opstellen van een profielschets voor het nieuwe lid;</w:t>
      </w:r>
    </w:p>
    <w:p w14:paraId="69EA7AD3" w14:textId="0C7F6875" w:rsidR="008C103A" w:rsidRPr="008C103A" w:rsidRDefault="008C103A" w:rsidP="008C103A">
      <w:pPr>
        <w:pStyle w:val="Lijstalinea"/>
        <w:numPr>
          <w:ilvl w:val="2"/>
          <w:numId w:val="7"/>
        </w:numPr>
        <w:rPr>
          <w:i/>
          <w:iCs/>
        </w:rPr>
      </w:pPr>
      <w:r>
        <w:rPr>
          <w:i/>
          <w:iCs/>
        </w:rPr>
        <w:t>Minimaal</w:t>
      </w:r>
      <w:r w:rsidRPr="008C103A">
        <w:rPr>
          <w:i/>
          <w:iCs/>
        </w:rPr>
        <w:t xml:space="preserve"> een van de zittende leden van de rekenkamer deelneemt in de selectiecommissie; </w:t>
      </w:r>
    </w:p>
    <w:p w14:paraId="7268DBA7" w14:textId="0E6860E0" w:rsidR="008C103A" w:rsidRDefault="008C103A" w:rsidP="008C103A">
      <w:pPr>
        <w:pStyle w:val="Lijstalinea"/>
        <w:numPr>
          <w:ilvl w:val="2"/>
          <w:numId w:val="7"/>
        </w:numPr>
        <w:rPr>
          <w:i/>
          <w:iCs/>
        </w:rPr>
      </w:pPr>
      <w:r>
        <w:rPr>
          <w:i/>
          <w:iCs/>
        </w:rPr>
        <w:t>De werving en selectie kan ook op initiatief van de rekenkamer met een of meer betrokken raadsleden plaatsvinden;</w:t>
      </w:r>
    </w:p>
    <w:p w14:paraId="7547D772" w14:textId="1DCCFA4B" w:rsidR="00DA19FA" w:rsidRDefault="00DA19FA" w:rsidP="00DA19FA">
      <w:pPr>
        <w:pStyle w:val="Lijstalinea"/>
        <w:numPr>
          <w:ilvl w:val="1"/>
          <w:numId w:val="7"/>
        </w:numPr>
        <w:rPr>
          <w:i/>
          <w:iCs/>
        </w:rPr>
      </w:pPr>
      <w:r w:rsidRPr="00DA19FA">
        <w:rPr>
          <w:i/>
          <w:iCs/>
        </w:rPr>
        <w:t>Het aanbevelen van de kandidaten voor de benoeming en herbenoeming als lid van de rekenkamer aan de raad zoals beschreven in artikel 4</w:t>
      </w:r>
      <w:r>
        <w:rPr>
          <w:i/>
          <w:iCs/>
        </w:rPr>
        <w:t xml:space="preserve"> van de verordening. Voorafgaand hieraan vindt overleg met de rekenkamer plaats. </w:t>
      </w:r>
    </w:p>
    <w:p w14:paraId="03656E40" w14:textId="0CB083B9" w:rsidR="00DA19FA" w:rsidRDefault="00DA19FA" w:rsidP="00DA19FA">
      <w:pPr>
        <w:pStyle w:val="Lijstalinea"/>
        <w:numPr>
          <w:ilvl w:val="1"/>
          <w:numId w:val="7"/>
        </w:numPr>
        <w:rPr>
          <w:i/>
          <w:iCs/>
        </w:rPr>
      </w:pPr>
      <w:r w:rsidRPr="00DA19FA">
        <w:rPr>
          <w:i/>
          <w:iCs/>
        </w:rPr>
        <w:t>De gemeenteraad berichten en adviseren over het ontslaan of op non-actief stellen van leden van de rekenkamer als bedoeld in artikel 81c, zesde of zevende lid, of van artikel 81d, eerste of tweede lid, van de Wet.</w:t>
      </w:r>
    </w:p>
    <w:p w14:paraId="5743BBD8" w14:textId="77777777" w:rsidR="00DA19FA" w:rsidRDefault="00DA19FA" w:rsidP="00DA19FA">
      <w:pPr>
        <w:pStyle w:val="Lijstalinea"/>
        <w:numPr>
          <w:ilvl w:val="0"/>
          <w:numId w:val="7"/>
        </w:numPr>
        <w:rPr>
          <w:i/>
          <w:iCs/>
        </w:rPr>
      </w:pPr>
      <w:r>
        <w:rPr>
          <w:i/>
          <w:iCs/>
        </w:rPr>
        <w:t>De klankbordgroep wordt</w:t>
      </w:r>
      <w:r w:rsidRPr="00DA19FA">
        <w:rPr>
          <w:i/>
          <w:iCs/>
        </w:rPr>
        <w:t xml:space="preserve"> niet betrokken bij de besluitvorming van de rekenkamer om over te gaan tot een onderzoek in een specifieke kwestie en ook niet bij de uitvoering van onderzoeken en de vaststelling van de rapporten, aanbevelingen en conclusies. Ook hebben </w:t>
      </w:r>
      <w:r>
        <w:rPr>
          <w:i/>
          <w:iCs/>
        </w:rPr>
        <w:t>de leden van de klankbordgroep</w:t>
      </w:r>
      <w:r w:rsidRPr="00DA19FA">
        <w:rPr>
          <w:i/>
          <w:iCs/>
        </w:rPr>
        <w:t xml:space="preserve"> geen inzage in de documenten en inlichtingen die de rekenkamer in het kader van een specifiek onderzoek heeft vergaard. </w:t>
      </w:r>
    </w:p>
    <w:p w14:paraId="28640DB0" w14:textId="2DF55529" w:rsidR="00DA19FA" w:rsidRDefault="00DA19FA" w:rsidP="00DA19FA">
      <w:pPr>
        <w:pStyle w:val="Lijstalinea"/>
        <w:numPr>
          <w:ilvl w:val="0"/>
          <w:numId w:val="7"/>
        </w:numPr>
        <w:rPr>
          <w:i/>
          <w:iCs/>
        </w:rPr>
      </w:pPr>
      <w:r>
        <w:rPr>
          <w:i/>
          <w:iCs/>
        </w:rPr>
        <w:t>De klankbordgroep en de rekenkamer vergaderen in ieder geval [aantal] keer per jaar onder voorzitterschap van de voorzitter van de rekenkamer. Onderwerpen die tijdens deze overleggen in ieder geval besproken zullen worden, zijn: het jaarverslag, het onderzoeksprogramma, de startnotities bij de opstart van nieuwe onderzoeken en middelen die de rekenkamer nodig heeft voor een goed</w:t>
      </w:r>
      <w:r w:rsidR="00446FAE">
        <w:rPr>
          <w:i/>
          <w:iCs/>
        </w:rPr>
        <w:t>e</w:t>
      </w:r>
      <w:r>
        <w:rPr>
          <w:i/>
          <w:iCs/>
        </w:rPr>
        <w:t xml:space="preserve"> uitoefening van haar taken.</w:t>
      </w:r>
    </w:p>
    <w:p w14:paraId="30733632" w14:textId="77777777" w:rsidR="00DA19FA" w:rsidRDefault="00DA19FA" w:rsidP="001E1C21">
      <w:pPr>
        <w:rPr>
          <w:b/>
          <w:bCs/>
        </w:rPr>
      </w:pPr>
    </w:p>
    <w:p w14:paraId="707A0C1D" w14:textId="74D25B0D" w:rsidR="001E1C21" w:rsidRPr="00DA19FA" w:rsidRDefault="001E1C21" w:rsidP="001E1C21">
      <w:pPr>
        <w:rPr>
          <w:b/>
          <w:bCs/>
          <w:i/>
        </w:rPr>
      </w:pPr>
      <w:r w:rsidRPr="001E1C21">
        <w:rPr>
          <w:b/>
          <w:bCs/>
        </w:rPr>
        <w:t xml:space="preserve">Artikel </w:t>
      </w:r>
      <w:r w:rsidR="00DA19FA">
        <w:rPr>
          <w:b/>
          <w:bCs/>
        </w:rPr>
        <w:t>4</w:t>
      </w:r>
      <w:r w:rsidRPr="001E1C21">
        <w:rPr>
          <w:b/>
          <w:bCs/>
        </w:rPr>
        <w:t xml:space="preserve"> Besluiten</w:t>
      </w:r>
      <w:r w:rsidRPr="00DA19FA">
        <w:rPr>
          <w:b/>
          <w:bCs/>
        </w:rPr>
        <w:t xml:space="preserve"> </w:t>
      </w:r>
    </w:p>
    <w:p w14:paraId="152F963F" w14:textId="132C3156" w:rsidR="001E1C21" w:rsidRDefault="001E1C21" w:rsidP="001E1C21">
      <w:pPr>
        <w:numPr>
          <w:ilvl w:val="0"/>
          <w:numId w:val="6"/>
        </w:numPr>
      </w:pPr>
      <w:r w:rsidRPr="001E1C21">
        <w:t xml:space="preserve">Alle besluiten van de </w:t>
      </w:r>
      <w:r w:rsidR="003B411E">
        <w:t>Rekenkamer</w:t>
      </w:r>
      <w:r w:rsidRPr="001E1C21">
        <w:t xml:space="preserve"> worden genomen bij meerderheid van stemmen, waarbij unanimiteit wordt nagestreefd. </w:t>
      </w:r>
      <w:r w:rsidR="00EF66BA">
        <w:t xml:space="preserve">Bij stakende stemmen is de stem van de voorzitter doorslaggevend. </w:t>
      </w:r>
    </w:p>
    <w:p w14:paraId="59EA19B7" w14:textId="266A7110" w:rsidR="008C103A" w:rsidRPr="001E1C21" w:rsidRDefault="008C103A" w:rsidP="008C103A">
      <w:pPr>
        <w:ind w:left="360"/>
      </w:pPr>
      <w:r>
        <w:t>/bij een eenhoofdige rekenkamer niet van toepassing</w:t>
      </w:r>
    </w:p>
    <w:p w14:paraId="5DA39CF7" w14:textId="00FD7B4B" w:rsidR="001E1C21" w:rsidRDefault="001E1C21" w:rsidP="001E1C21">
      <w:pPr>
        <w:numPr>
          <w:ilvl w:val="0"/>
          <w:numId w:val="6"/>
        </w:numPr>
      </w:pPr>
      <w:r w:rsidRPr="001E1C21">
        <w:t>De taken van de voorzitter worden bij diens afwezigheid</w:t>
      </w:r>
      <w:r w:rsidR="009C7D98">
        <w:t>,</w:t>
      </w:r>
      <w:r w:rsidRPr="001E1C21">
        <w:t xml:space="preserve"> </w:t>
      </w:r>
      <w:proofErr w:type="spellStart"/>
      <w:r w:rsidRPr="001E1C21">
        <w:t>danwel</w:t>
      </w:r>
      <w:proofErr w:type="spellEnd"/>
      <w:r w:rsidRPr="001E1C21">
        <w:t xml:space="preserve"> wanneer de voorzitter terugtreedt ter vermijding van </w:t>
      </w:r>
      <w:r w:rsidR="00EF66BA">
        <w:t xml:space="preserve">(de schijn van) </w:t>
      </w:r>
      <w:r w:rsidRPr="001E1C21">
        <w:t xml:space="preserve">belangenverstrengeling, uitgevoerd door de </w:t>
      </w:r>
      <w:r w:rsidR="006D22C6">
        <w:t>plaatsvervangend</w:t>
      </w:r>
      <w:r w:rsidR="001458D0">
        <w:t xml:space="preserve"> </w:t>
      </w:r>
      <w:r w:rsidRPr="001E1C21">
        <w:t>voorzitter.</w:t>
      </w:r>
    </w:p>
    <w:p w14:paraId="3C0D2DC3" w14:textId="7F8734B2" w:rsidR="008C103A" w:rsidRPr="001E1C21" w:rsidRDefault="008C103A" w:rsidP="008C103A">
      <w:pPr>
        <w:ind w:left="360"/>
      </w:pPr>
      <w:r>
        <w:t xml:space="preserve">/bij een eenhoofdige rekenkamer worden de taken van de directeur bij ziekte of uitval overgenomen door de plaatsvervangend directeur. </w:t>
      </w:r>
    </w:p>
    <w:p w14:paraId="68C9A4C4" w14:textId="3DD2E1DF" w:rsidR="001E1C21" w:rsidRDefault="001E1C21" w:rsidP="001E1C21">
      <w:pPr>
        <w:numPr>
          <w:ilvl w:val="0"/>
          <w:numId w:val="6"/>
        </w:numPr>
      </w:pPr>
      <w:r w:rsidRPr="001E1C21">
        <w:t xml:space="preserve">De </w:t>
      </w:r>
      <w:r w:rsidR="003B411E">
        <w:t>Rekenkamer</w:t>
      </w:r>
      <w:r w:rsidRPr="001E1C21">
        <w:t xml:space="preserve"> kan, indien geen inhoudelijke behandeling noodzakelijk is, buiten de vergadering besluiten nemen, met dien verstande dat het besluit unaniem dient te zijn.</w:t>
      </w:r>
    </w:p>
    <w:p w14:paraId="2D4CF08A" w14:textId="0930067E" w:rsidR="008C103A" w:rsidRPr="001E1C21" w:rsidRDefault="008C103A" w:rsidP="008C103A">
      <w:pPr>
        <w:ind w:left="360"/>
      </w:pPr>
      <w:r>
        <w:t xml:space="preserve">/bij een eenhoofdige rekenkamer niet van toepassing. </w:t>
      </w:r>
    </w:p>
    <w:p w14:paraId="1AC2E8C5" w14:textId="77777777" w:rsidR="001E1C21" w:rsidRPr="001E1C21" w:rsidRDefault="001E1C21" w:rsidP="001E1C21">
      <w:pPr>
        <w:rPr>
          <w:b/>
          <w:bCs/>
        </w:rPr>
      </w:pPr>
    </w:p>
    <w:p w14:paraId="426880D1" w14:textId="0F509BF9" w:rsidR="001E1C21" w:rsidRPr="001E1C21" w:rsidRDefault="001E1C21" w:rsidP="001E1C21">
      <w:pPr>
        <w:rPr>
          <w:b/>
          <w:bCs/>
        </w:rPr>
      </w:pPr>
      <w:r w:rsidRPr="001E1C21">
        <w:rPr>
          <w:b/>
          <w:bCs/>
        </w:rPr>
        <w:t xml:space="preserve">Artikel </w:t>
      </w:r>
      <w:r w:rsidR="00DA19FA">
        <w:rPr>
          <w:b/>
          <w:bCs/>
        </w:rPr>
        <w:t>5</w:t>
      </w:r>
      <w:r w:rsidRPr="001E1C21">
        <w:rPr>
          <w:b/>
          <w:bCs/>
        </w:rPr>
        <w:t xml:space="preserve"> Verslaglegging</w:t>
      </w:r>
    </w:p>
    <w:p w14:paraId="3E22B50E" w14:textId="77777777" w:rsidR="001E1C21" w:rsidRPr="001E1C21" w:rsidRDefault="001E1C21" w:rsidP="001E1C21">
      <w:pPr>
        <w:numPr>
          <w:ilvl w:val="0"/>
          <w:numId w:val="2"/>
        </w:numPr>
      </w:pPr>
      <w:r w:rsidRPr="001E1C21">
        <w:t>In het verslag van de vergadering wordt de aanwezigheid van de leden vermeld, de namen van de afwezige leden, een vermelding van de zaken die aan de orde zijn geweest en de zakelijke conclusie van het besprokene.</w:t>
      </w:r>
    </w:p>
    <w:p w14:paraId="5488BFD6" w14:textId="68F4A7C9" w:rsidR="001E1C21" w:rsidRPr="001E1C21" w:rsidRDefault="001E1C21" w:rsidP="001E1C21">
      <w:pPr>
        <w:numPr>
          <w:ilvl w:val="0"/>
          <w:numId w:val="2"/>
        </w:numPr>
      </w:pPr>
      <w:r w:rsidRPr="001E1C21">
        <w:t>De secretaris zorgt zo spoedig mogelijk na afloop van de vergadering voor een concept-verslag ervan en stuurt deze rond voor commentaar. De leden reageren zo spoedig mogelijk op het concept</w:t>
      </w:r>
      <w:r w:rsidR="00A42A53">
        <w:t>-</w:t>
      </w:r>
      <w:r w:rsidRPr="001E1C21">
        <w:t>verslag. Het concept</w:t>
      </w:r>
      <w:r w:rsidR="00A42A53">
        <w:t>-</w:t>
      </w:r>
      <w:r w:rsidRPr="001E1C21">
        <w:t>verslag wordt met eventuele wijzigingen de eerstvolgende vergadering vastgesteld.</w:t>
      </w:r>
    </w:p>
    <w:p w14:paraId="1D346836" w14:textId="77777777" w:rsidR="001E1C21" w:rsidRPr="001E1C21" w:rsidRDefault="001E1C21" w:rsidP="001E1C21">
      <w:pPr>
        <w:numPr>
          <w:ilvl w:val="0"/>
          <w:numId w:val="2"/>
        </w:numPr>
      </w:pPr>
      <w:r w:rsidRPr="001E1C21">
        <w:t xml:space="preserve">Bij verhindering van de secretaris zorgt de voorzitter voor zijn vervanging. </w:t>
      </w:r>
    </w:p>
    <w:p w14:paraId="498E3632" w14:textId="2AD80C60" w:rsidR="0006062B" w:rsidRDefault="0006062B">
      <w:pPr>
        <w:rPr>
          <w:b/>
          <w:bCs/>
        </w:rPr>
      </w:pPr>
    </w:p>
    <w:p w14:paraId="063B89A5" w14:textId="7D52772B" w:rsidR="001E1C21" w:rsidRDefault="001E1C21" w:rsidP="001E1C21">
      <w:pPr>
        <w:rPr>
          <w:b/>
          <w:bCs/>
        </w:rPr>
      </w:pPr>
      <w:r w:rsidRPr="001E1C21">
        <w:rPr>
          <w:b/>
          <w:bCs/>
        </w:rPr>
        <w:t xml:space="preserve">Artikel </w:t>
      </w:r>
      <w:r w:rsidR="008C103A">
        <w:rPr>
          <w:b/>
          <w:bCs/>
        </w:rPr>
        <w:t>6</w:t>
      </w:r>
      <w:r w:rsidRPr="001E1C21">
        <w:rPr>
          <w:b/>
          <w:bCs/>
        </w:rPr>
        <w:t xml:space="preserve"> Gedragscode</w:t>
      </w:r>
    </w:p>
    <w:p w14:paraId="180EF75B" w14:textId="15DA5076" w:rsidR="008C103A" w:rsidRPr="001E1C21" w:rsidRDefault="008C103A" w:rsidP="001E1C21">
      <w:pPr>
        <w:rPr>
          <w:b/>
          <w:bCs/>
        </w:rPr>
      </w:pPr>
      <w:r>
        <w:rPr>
          <w:b/>
          <w:bCs/>
        </w:rPr>
        <w:t>[dit kan, zoals in een aantal rekenkamers reeds het gebruik is, ook via een eigen gedragscode voor de rekenkamer]</w:t>
      </w:r>
    </w:p>
    <w:p w14:paraId="351C295A" w14:textId="77777777" w:rsidR="001E1C21" w:rsidRPr="001E1C21" w:rsidRDefault="001E1C21" w:rsidP="001E1C21">
      <w:pPr>
        <w:numPr>
          <w:ilvl w:val="0"/>
          <w:numId w:val="3"/>
        </w:numPr>
      </w:pPr>
      <w:r w:rsidRPr="001E1C21">
        <w:t>In gevallen waarbij sprake kan zijn van belangenverstrengeling of de schijn van belangenverstrengeling kan optreden, zal het betreffende lid zich niet met het onderzoek bezighouden.</w:t>
      </w:r>
    </w:p>
    <w:p w14:paraId="6FBE151D" w14:textId="4BA86CC7" w:rsidR="001E1C21" w:rsidRPr="00374E22" w:rsidRDefault="001E1C21" w:rsidP="001E1C21">
      <w:pPr>
        <w:numPr>
          <w:ilvl w:val="0"/>
          <w:numId w:val="3"/>
        </w:numPr>
      </w:pPr>
      <w:r w:rsidRPr="00374E22">
        <w:t xml:space="preserve">Een </w:t>
      </w:r>
      <w:r w:rsidR="003B411E" w:rsidRPr="00374E22">
        <w:t>Rekenkamer</w:t>
      </w:r>
      <w:r w:rsidRPr="00374E22">
        <w:t xml:space="preserve">lid, secretaris of extern ingehuurde onderzoeker vermijdt politiek of persoonlijk gedrag, dat aan het gezag van de </w:t>
      </w:r>
      <w:r w:rsidR="003B411E" w:rsidRPr="00374E22">
        <w:t>Rekenkamer</w:t>
      </w:r>
      <w:r w:rsidRPr="00374E22">
        <w:t xml:space="preserve"> schade </w:t>
      </w:r>
      <w:r w:rsidR="00675E5D" w:rsidRPr="00374E22">
        <w:t>kan toebrengen</w:t>
      </w:r>
      <w:r w:rsidRPr="00374E22">
        <w:t>.</w:t>
      </w:r>
    </w:p>
    <w:p w14:paraId="5D71D803" w14:textId="77777777" w:rsidR="008C103A" w:rsidRDefault="008C103A" w:rsidP="001E1C21"/>
    <w:p w14:paraId="43383861" w14:textId="59D2C9B4" w:rsidR="008C103A" w:rsidRPr="008C103A" w:rsidRDefault="008C103A" w:rsidP="001E1C21">
      <w:pPr>
        <w:rPr>
          <w:b/>
          <w:bCs/>
        </w:rPr>
      </w:pPr>
      <w:r w:rsidRPr="008C103A">
        <w:rPr>
          <w:b/>
          <w:bCs/>
        </w:rPr>
        <w:t>Artikel 7 opdrachtgeverschap</w:t>
      </w:r>
    </w:p>
    <w:p w14:paraId="0315954F" w14:textId="77777777" w:rsidR="008C103A" w:rsidRPr="001E1C21" w:rsidRDefault="008C103A" w:rsidP="008C103A">
      <w:pPr>
        <w:numPr>
          <w:ilvl w:val="0"/>
          <w:numId w:val="9"/>
        </w:numPr>
      </w:pPr>
      <w:r w:rsidRPr="001E1C21">
        <w:t xml:space="preserve">Onderzoekers die door de </w:t>
      </w:r>
      <w:r>
        <w:t>Rekenkamer</w:t>
      </w:r>
      <w:r w:rsidRPr="001E1C21">
        <w:t xml:space="preserve"> worden ingehuurd, tekenen waar nodig een geheimhoudingsverklaring of verwerkingsovereenkomst</w:t>
      </w:r>
      <w:r>
        <w:t>.</w:t>
      </w:r>
    </w:p>
    <w:p w14:paraId="01F730BE" w14:textId="77777777" w:rsidR="008C103A" w:rsidRDefault="008C103A" w:rsidP="001E1C21"/>
    <w:p w14:paraId="66185B53" w14:textId="77777777" w:rsidR="008C103A" w:rsidRPr="001E1C21" w:rsidRDefault="008C103A" w:rsidP="001E1C21"/>
    <w:p w14:paraId="3D7CB97B" w14:textId="02156DDF" w:rsidR="001E1C21" w:rsidRPr="001E1C21" w:rsidRDefault="001E1C21" w:rsidP="001E1C21">
      <w:pPr>
        <w:rPr>
          <w:bCs/>
        </w:rPr>
      </w:pPr>
      <w:r w:rsidRPr="001E1C21">
        <w:rPr>
          <w:b/>
          <w:bCs/>
        </w:rPr>
        <w:t xml:space="preserve">Artikel </w:t>
      </w:r>
      <w:r w:rsidR="00DA19FA">
        <w:rPr>
          <w:b/>
          <w:bCs/>
        </w:rPr>
        <w:t>8</w:t>
      </w:r>
      <w:r w:rsidRPr="001E1C21">
        <w:rPr>
          <w:b/>
          <w:bCs/>
        </w:rPr>
        <w:t xml:space="preserve"> Onderzoeksprotocol</w:t>
      </w:r>
    </w:p>
    <w:p w14:paraId="74E47640" w14:textId="7C37DB11" w:rsidR="001E1C21" w:rsidRPr="001E1C21" w:rsidRDefault="001E1C21" w:rsidP="001E1C21">
      <w:r w:rsidRPr="001E1C21">
        <w:t xml:space="preserve">De </w:t>
      </w:r>
      <w:r w:rsidR="003B411E">
        <w:t>Rekenkamer</w:t>
      </w:r>
      <w:r w:rsidRPr="001E1C21">
        <w:t xml:space="preserve"> stelt een onderzoeksprotocol op waarin wordt vastgelegd wat de werkwijze is van de </w:t>
      </w:r>
      <w:r w:rsidR="003B411E">
        <w:t>Rekenkamer</w:t>
      </w:r>
      <w:r w:rsidRPr="001E1C21">
        <w:t xml:space="preserve"> bij de uitvoering van onderzoeken. </w:t>
      </w:r>
    </w:p>
    <w:p w14:paraId="7B997BE5" w14:textId="77777777" w:rsidR="001E1C21" w:rsidRPr="001E1C21" w:rsidRDefault="001E1C21" w:rsidP="001E1C21"/>
    <w:p w14:paraId="4A32E9C4" w14:textId="1A6F2A49" w:rsidR="001E1C21" w:rsidRPr="001E1C21" w:rsidRDefault="001E1C21" w:rsidP="001E1C21">
      <w:pPr>
        <w:rPr>
          <w:bCs/>
          <w:i/>
          <w:iCs/>
        </w:rPr>
      </w:pPr>
      <w:r w:rsidRPr="001E1C21">
        <w:rPr>
          <w:b/>
          <w:bCs/>
          <w:i/>
          <w:iCs/>
        </w:rPr>
        <w:t xml:space="preserve">[Artikel </w:t>
      </w:r>
      <w:r w:rsidR="00DA19FA">
        <w:rPr>
          <w:b/>
          <w:bCs/>
          <w:i/>
          <w:iCs/>
        </w:rPr>
        <w:t>9</w:t>
      </w:r>
      <w:r w:rsidRPr="001E1C21">
        <w:rPr>
          <w:b/>
          <w:bCs/>
          <w:i/>
          <w:iCs/>
        </w:rPr>
        <w:t xml:space="preserve"> Budget</w:t>
      </w:r>
    </w:p>
    <w:p w14:paraId="1E3EDB7F" w14:textId="20A641EB" w:rsidR="001E1C21" w:rsidRPr="001E1C21" w:rsidRDefault="001E1C21" w:rsidP="001E1C21">
      <w:pPr>
        <w:rPr>
          <w:i/>
          <w:iCs/>
        </w:rPr>
      </w:pPr>
      <w:r w:rsidRPr="001E1C21">
        <w:rPr>
          <w:i/>
          <w:iCs/>
        </w:rPr>
        <w:t>De</w:t>
      </w:r>
      <w:r w:rsidR="00DA19FA">
        <w:rPr>
          <w:i/>
          <w:iCs/>
        </w:rPr>
        <w:t xml:space="preserve"> [</w:t>
      </w:r>
      <w:r w:rsidRPr="001E1C21">
        <w:rPr>
          <w:i/>
          <w:iCs/>
        </w:rPr>
        <w:t>secretaris</w:t>
      </w:r>
      <w:r w:rsidR="00333135">
        <w:rPr>
          <w:i/>
          <w:iCs/>
        </w:rPr>
        <w:t>/voorzitter/griffier</w:t>
      </w:r>
      <w:r w:rsidR="00DA19FA">
        <w:rPr>
          <w:i/>
          <w:iCs/>
        </w:rPr>
        <w:t>]</w:t>
      </w:r>
      <w:r w:rsidRPr="001E1C21">
        <w:rPr>
          <w:i/>
          <w:iCs/>
        </w:rPr>
        <w:t xml:space="preserve"> treedt op als budgethouder van het budget voor de </w:t>
      </w:r>
      <w:r w:rsidR="003B411E">
        <w:rPr>
          <w:i/>
          <w:iCs/>
        </w:rPr>
        <w:t>Rekenkamer</w:t>
      </w:r>
      <w:r w:rsidRPr="001E1C21">
        <w:rPr>
          <w:i/>
          <w:iCs/>
        </w:rPr>
        <w:t>.]</w:t>
      </w:r>
    </w:p>
    <w:p w14:paraId="6C776210" w14:textId="77777777" w:rsidR="001E1C21" w:rsidRPr="001E1C21" w:rsidRDefault="001E1C21" w:rsidP="001E1C21"/>
    <w:p w14:paraId="3AF9F23B" w14:textId="6C6D8C14" w:rsidR="001E1C21" w:rsidRPr="001E1C21" w:rsidRDefault="001E1C21" w:rsidP="001E1C21">
      <w:pPr>
        <w:rPr>
          <w:b/>
          <w:bCs/>
        </w:rPr>
      </w:pPr>
      <w:r w:rsidRPr="001E1C21">
        <w:rPr>
          <w:b/>
          <w:bCs/>
        </w:rPr>
        <w:t>Artikel 9 Slotbepalingen</w:t>
      </w:r>
    </w:p>
    <w:p w14:paraId="21CE82FF" w14:textId="7ECBC248" w:rsidR="001E1C21" w:rsidRPr="001E1C21" w:rsidRDefault="001E1C21" w:rsidP="001E1C21">
      <w:pPr>
        <w:numPr>
          <w:ilvl w:val="0"/>
          <w:numId w:val="5"/>
        </w:numPr>
      </w:pPr>
      <w:r w:rsidRPr="001E1C21">
        <w:t xml:space="preserve">In de gevallen waarin dit reglement niet voorziet of bij twijfel omtrent de toepassing van het reglement, beslist de </w:t>
      </w:r>
      <w:r w:rsidR="003B411E">
        <w:t>Rekenkamer</w:t>
      </w:r>
      <w:r w:rsidRPr="001E1C21">
        <w:t>.</w:t>
      </w:r>
    </w:p>
    <w:p w14:paraId="0A844802" w14:textId="34DC3000" w:rsidR="001E1C21" w:rsidRPr="001E1C21" w:rsidRDefault="001E1C21" w:rsidP="001E1C21">
      <w:pPr>
        <w:numPr>
          <w:ilvl w:val="0"/>
          <w:numId w:val="5"/>
        </w:numPr>
      </w:pPr>
      <w:r w:rsidRPr="001E1C21">
        <w:t xml:space="preserve">Het Reglement van orde wordt gepubliceerd op de website van de </w:t>
      </w:r>
      <w:r w:rsidR="003B411E">
        <w:t>Rekenkamer</w:t>
      </w:r>
      <w:r w:rsidRPr="001E1C21">
        <w:t xml:space="preserve"> en ter kennisneming toegezonden aan de gemeenteraad. </w:t>
      </w:r>
    </w:p>
    <w:p w14:paraId="0FCB2043" w14:textId="77777777" w:rsidR="001E1C21" w:rsidRPr="001E1C21" w:rsidRDefault="001E1C21" w:rsidP="001E1C21"/>
    <w:p w14:paraId="7EA17244" w14:textId="77777777" w:rsidR="001E1C21" w:rsidRPr="001E1C21" w:rsidRDefault="001E1C21" w:rsidP="001E1C21"/>
    <w:p w14:paraId="12A9A94B" w14:textId="35E13FFB" w:rsidR="001E1C21" w:rsidRPr="001E1C21" w:rsidRDefault="001E1C21" w:rsidP="001E1C21">
      <w:r w:rsidRPr="001E1C21">
        <w:t xml:space="preserve">Aldus vastgesteld door de </w:t>
      </w:r>
      <w:r w:rsidR="003B411E">
        <w:t>Rekenkamer</w:t>
      </w:r>
      <w:r w:rsidRPr="001E1C21">
        <w:t xml:space="preserve"> van de gemeente [Naam gemeente] op [DATUM].</w:t>
      </w:r>
    </w:p>
    <w:p w14:paraId="11D06F33" w14:textId="77777777" w:rsidR="001E1C21" w:rsidRPr="001E1C21" w:rsidRDefault="001E1C21" w:rsidP="001E1C21"/>
    <w:p w14:paraId="0446BFE9" w14:textId="77777777" w:rsidR="001E1C21" w:rsidRPr="001E1C21" w:rsidRDefault="001E1C21" w:rsidP="001E1C21"/>
    <w:p w14:paraId="293D12F4" w14:textId="77777777" w:rsidR="001E1C21" w:rsidRPr="001E1C21" w:rsidRDefault="001E1C21" w:rsidP="001E1C21">
      <w:r w:rsidRPr="001E1C21">
        <w:t>[Naam voorzitter], voorzitter</w:t>
      </w:r>
    </w:p>
    <w:p w14:paraId="270CF528" w14:textId="77777777" w:rsidR="001E1C21" w:rsidRPr="001E1C21" w:rsidRDefault="001E1C21" w:rsidP="001E1C21"/>
    <w:p w14:paraId="3725C331" w14:textId="77777777" w:rsidR="001E1C21" w:rsidRPr="001E1C21" w:rsidRDefault="001E1C21" w:rsidP="001E1C21"/>
    <w:p w14:paraId="3EBE0977" w14:textId="77777777" w:rsidR="001E1C21" w:rsidRPr="001E1C21" w:rsidRDefault="001E1C21" w:rsidP="001E1C21"/>
    <w:p w14:paraId="1B7DEBD4" w14:textId="77777777" w:rsidR="001E1C21" w:rsidRPr="001E1C21" w:rsidRDefault="001E1C21" w:rsidP="001E1C21">
      <w:r w:rsidRPr="001E1C21">
        <w:t>[Naam secretaris], secretaris</w:t>
      </w:r>
    </w:p>
    <w:p w14:paraId="48CCF670" w14:textId="77777777" w:rsidR="001E1C21" w:rsidRPr="001E1C21" w:rsidRDefault="001E1C21" w:rsidP="001E1C21"/>
    <w:p w14:paraId="011AF9F3" w14:textId="77777777" w:rsidR="00A84B52" w:rsidRDefault="00A84B52"/>
    <w:sectPr w:rsidR="00A84B52" w:rsidSect="001E1C21">
      <w:footerReference w:type="even" r:id="rId7"/>
      <w:footerReference w:type="default" r:id="rId8"/>
      <w:headerReference w:type="first" r:id="rId9"/>
      <w:footerReference w:type="first" r:id="rId10"/>
      <w:pgSz w:w="11900" w:h="16840"/>
      <w:pgMar w:top="1418" w:right="1797" w:bottom="1418" w:left="1797" w:header="70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71892" w14:textId="77777777" w:rsidR="00954EDE" w:rsidRDefault="00954EDE" w:rsidP="001E1C21">
      <w:r>
        <w:separator/>
      </w:r>
    </w:p>
  </w:endnote>
  <w:endnote w:type="continuationSeparator" w:id="0">
    <w:p w14:paraId="7516CF45" w14:textId="77777777" w:rsidR="00954EDE" w:rsidRDefault="00954EDE" w:rsidP="001E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C0CB" w14:textId="0572B870" w:rsidR="00AF15DB" w:rsidRDefault="00457C06" w:rsidP="001E1C21">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E1C21">
      <w:rPr>
        <w:rStyle w:val="Paginanummer"/>
        <w:noProof/>
      </w:rPr>
      <w:t>2</w:t>
    </w:r>
    <w:r>
      <w:rPr>
        <w:rStyle w:val="Paginanummer"/>
      </w:rPr>
      <w:fldChar w:fldCharType="end"/>
    </w:r>
  </w:p>
  <w:p w14:paraId="2A7313C0" w14:textId="77777777" w:rsidR="00AF15DB" w:rsidRDefault="00AF15DB" w:rsidP="00116C8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286354288"/>
      <w:docPartObj>
        <w:docPartGallery w:val="Page Numbers (Bottom of Page)"/>
        <w:docPartUnique/>
      </w:docPartObj>
    </w:sdtPr>
    <w:sdtContent>
      <w:p w14:paraId="4A3FA9F3" w14:textId="4C108D8B" w:rsidR="001E1C21" w:rsidRDefault="001E1C21" w:rsidP="0064633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18C2BDDB" w14:textId="77777777" w:rsidR="00AF15DB" w:rsidRPr="0002542F" w:rsidRDefault="00AF15DB" w:rsidP="00116C87">
    <w:pPr>
      <w:pStyle w:val="Voettekst"/>
      <w:ind w:right="360"/>
      <w:rPr>
        <w:rFonts w:asciiTheme="majorHAnsi" w:hAnsiTheme="maj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C384" w14:textId="1B6C459B" w:rsidR="001E1C21" w:rsidRDefault="001E1C21" w:rsidP="001E1C21">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0B5EC" w14:textId="77777777" w:rsidR="00954EDE" w:rsidRDefault="00954EDE" w:rsidP="001E1C21">
      <w:r>
        <w:separator/>
      </w:r>
    </w:p>
  </w:footnote>
  <w:footnote w:type="continuationSeparator" w:id="0">
    <w:p w14:paraId="2F297F0B" w14:textId="77777777" w:rsidR="00954EDE" w:rsidRDefault="00954EDE" w:rsidP="001E1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AE30" w14:textId="77777777" w:rsidR="00AF15DB" w:rsidRDefault="00AF15DB">
    <w:pPr>
      <w:pStyle w:val="Koptekst"/>
      <w:rPr>
        <w:noProof/>
        <w:lang w:eastAsia="nl-NL"/>
      </w:rPr>
    </w:pPr>
  </w:p>
  <w:p w14:paraId="12D85118" w14:textId="77777777" w:rsidR="00AF15DB" w:rsidRDefault="00AF15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6B93"/>
    <w:multiLevelType w:val="hybridMultilevel"/>
    <w:tmpl w:val="FFA865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FCD089E"/>
    <w:multiLevelType w:val="hybridMultilevel"/>
    <w:tmpl w:val="9F2E20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71B48F7"/>
    <w:multiLevelType w:val="hybridMultilevel"/>
    <w:tmpl w:val="5344CD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D57671C"/>
    <w:multiLevelType w:val="hybridMultilevel"/>
    <w:tmpl w:val="7918F5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BB524C7"/>
    <w:multiLevelType w:val="hybridMultilevel"/>
    <w:tmpl w:val="7918F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5320080"/>
    <w:multiLevelType w:val="hybridMultilevel"/>
    <w:tmpl w:val="133A18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5A82BBA"/>
    <w:multiLevelType w:val="hybridMultilevel"/>
    <w:tmpl w:val="C5D06FD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E334C28C">
      <w:numFmt w:val="bullet"/>
      <w:lvlText w:val=""/>
      <w:lvlJc w:val="left"/>
      <w:pPr>
        <w:ind w:left="1980" w:hanging="360"/>
      </w:pPr>
      <w:rPr>
        <w:rFonts w:ascii="Symbol" w:eastAsiaTheme="minorHAnsi" w:hAnsi="Symbol" w:cstheme="minorBidi"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15F167C"/>
    <w:multiLevelType w:val="hybridMultilevel"/>
    <w:tmpl w:val="D6B80CF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77CD5205"/>
    <w:multiLevelType w:val="hybridMultilevel"/>
    <w:tmpl w:val="D6B80CF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124079412">
    <w:abstractNumId w:val="8"/>
  </w:num>
  <w:num w:numId="2" w16cid:durableId="1832597682">
    <w:abstractNumId w:val="5"/>
  </w:num>
  <w:num w:numId="3" w16cid:durableId="1412965190">
    <w:abstractNumId w:val="3"/>
  </w:num>
  <w:num w:numId="4" w16cid:durableId="1864635631">
    <w:abstractNumId w:val="1"/>
  </w:num>
  <w:num w:numId="5" w16cid:durableId="1421098350">
    <w:abstractNumId w:val="2"/>
  </w:num>
  <w:num w:numId="6" w16cid:durableId="1887837521">
    <w:abstractNumId w:val="7"/>
  </w:num>
  <w:num w:numId="7" w16cid:durableId="1755936951">
    <w:abstractNumId w:val="6"/>
  </w:num>
  <w:num w:numId="8" w16cid:durableId="1403064827">
    <w:abstractNumId w:val="0"/>
  </w:num>
  <w:num w:numId="9" w16cid:durableId="5428362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C21"/>
    <w:rsid w:val="0006062B"/>
    <w:rsid w:val="00093754"/>
    <w:rsid w:val="001458D0"/>
    <w:rsid w:val="001A0BBD"/>
    <w:rsid w:val="001E1C21"/>
    <w:rsid w:val="00263034"/>
    <w:rsid w:val="00270DBD"/>
    <w:rsid w:val="00333135"/>
    <w:rsid w:val="00374E22"/>
    <w:rsid w:val="003B411E"/>
    <w:rsid w:val="00446FAE"/>
    <w:rsid w:val="00457C06"/>
    <w:rsid w:val="005A2D9D"/>
    <w:rsid w:val="005A3E47"/>
    <w:rsid w:val="005B21C3"/>
    <w:rsid w:val="005F2E75"/>
    <w:rsid w:val="0065317D"/>
    <w:rsid w:val="00675E5D"/>
    <w:rsid w:val="006A7AAE"/>
    <w:rsid w:val="006D22C6"/>
    <w:rsid w:val="00712EF0"/>
    <w:rsid w:val="00774287"/>
    <w:rsid w:val="007B493F"/>
    <w:rsid w:val="007F10FF"/>
    <w:rsid w:val="00814BF5"/>
    <w:rsid w:val="00864327"/>
    <w:rsid w:val="00880FA3"/>
    <w:rsid w:val="00893101"/>
    <w:rsid w:val="008A0E71"/>
    <w:rsid w:val="008C103A"/>
    <w:rsid w:val="008D6A29"/>
    <w:rsid w:val="00954EDE"/>
    <w:rsid w:val="009C7D98"/>
    <w:rsid w:val="00A42A53"/>
    <w:rsid w:val="00A84B52"/>
    <w:rsid w:val="00AF15DB"/>
    <w:rsid w:val="00B17E65"/>
    <w:rsid w:val="00B44C23"/>
    <w:rsid w:val="00B45030"/>
    <w:rsid w:val="00B5372E"/>
    <w:rsid w:val="00C7539D"/>
    <w:rsid w:val="00CB280F"/>
    <w:rsid w:val="00DA19FA"/>
    <w:rsid w:val="00DA379D"/>
    <w:rsid w:val="00EC3CBD"/>
    <w:rsid w:val="00EE61A8"/>
    <w:rsid w:val="00EF66BA"/>
    <w:rsid w:val="00F2310A"/>
    <w:rsid w:val="00F3143F"/>
    <w:rsid w:val="00FA4514"/>
    <w:rsid w:val="00FB62CA"/>
    <w:rsid w:val="00FB6B48"/>
    <w:rsid w:val="00FD7AE5"/>
    <w:rsid w:val="00FF2E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D645"/>
  <w15:chartTrackingRefBased/>
  <w15:docId w15:val="{42A10557-AA14-6541-A48A-9B96F6BF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1C2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E1C21"/>
    <w:pPr>
      <w:tabs>
        <w:tab w:val="center" w:pos="4536"/>
        <w:tab w:val="right" w:pos="9072"/>
      </w:tabs>
    </w:pPr>
  </w:style>
  <w:style w:type="character" w:customStyle="1" w:styleId="KoptekstChar">
    <w:name w:val="Koptekst Char"/>
    <w:basedOn w:val="Standaardalinea-lettertype"/>
    <w:link w:val="Koptekst"/>
    <w:uiPriority w:val="99"/>
    <w:rsid w:val="001E1C21"/>
  </w:style>
  <w:style w:type="paragraph" w:styleId="Voettekst">
    <w:name w:val="footer"/>
    <w:basedOn w:val="Standaard"/>
    <w:link w:val="VoettekstChar"/>
    <w:uiPriority w:val="99"/>
    <w:unhideWhenUsed/>
    <w:rsid w:val="001E1C21"/>
    <w:pPr>
      <w:tabs>
        <w:tab w:val="center" w:pos="4536"/>
        <w:tab w:val="right" w:pos="9072"/>
      </w:tabs>
    </w:pPr>
  </w:style>
  <w:style w:type="character" w:customStyle="1" w:styleId="VoettekstChar">
    <w:name w:val="Voettekst Char"/>
    <w:basedOn w:val="Standaardalinea-lettertype"/>
    <w:link w:val="Voettekst"/>
    <w:uiPriority w:val="99"/>
    <w:rsid w:val="001E1C21"/>
  </w:style>
  <w:style w:type="character" w:styleId="Paginanummer">
    <w:name w:val="page number"/>
    <w:basedOn w:val="Standaardalinea-lettertype"/>
    <w:uiPriority w:val="99"/>
    <w:semiHidden/>
    <w:unhideWhenUsed/>
    <w:rsid w:val="001E1C21"/>
  </w:style>
  <w:style w:type="character" w:customStyle="1" w:styleId="Kop1Char">
    <w:name w:val="Kop 1 Char"/>
    <w:basedOn w:val="Standaardalinea-lettertype"/>
    <w:link w:val="Kop1"/>
    <w:uiPriority w:val="9"/>
    <w:rsid w:val="001E1C21"/>
    <w:rPr>
      <w:rFonts w:asciiTheme="majorHAnsi" w:eastAsiaTheme="majorEastAsia" w:hAnsiTheme="majorHAnsi" w:cstheme="majorBidi"/>
      <w:color w:val="2F5496" w:themeColor="accent1" w:themeShade="BF"/>
      <w:sz w:val="32"/>
      <w:szCs w:val="32"/>
    </w:rPr>
  </w:style>
  <w:style w:type="paragraph" w:styleId="Revisie">
    <w:name w:val="Revision"/>
    <w:hidden/>
    <w:uiPriority w:val="99"/>
    <w:semiHidden/>
    <w:rsid w:val="006A7AAE"/>
  </w:style>
  <w:style w:type="character" w:styleId="Verwijzingopmerking">
    <w:name w:val="annotation reference"/>
    <w:basedOn w:val="Standaardalinea-lettertype"/>
    <w:uiPriority w:val="99"/>
    <w:semiHidden/>
    <w:unhideWhenUsed/>
    <w:rsid w:val="00EF66BA"/>
    <w:rPr>
      <w:sz w:val="16"/>
      <w:szCs w:val="16"/>
    </w:rPr>
  </w:style>
  <w:style w:type="paragraph" w:styleId="Tekstopmerking">
    <w:name w:val="annotation text"/>
    <w:basedOn w:val="Standaard"/>
    <w:link w:val="TekstopmerkingChar"/>
    <w:uiPriority w:val="99"/>
    <w:unhideWhenUsed/>
    <w:rsid w:val="00EF66BA"/>
    <w:rPr>
      <w:sz w:val="20"/>
      <w:szCs w:val="20"/>
    </w:rPr>
  </w:style>
  <w:style w:type="character" w:customStyle="1" w:styleId="TekstopmerkingChar">
    <w:name w:val="Tekst opmerking Char"/>
    <w:basedOn w:val="Standaardalinea-lettertype"/>
    <w:link w:val="Tekstopmerking"/>
    <w:uiPriority w:val="99"/>
    <w:rsid w:val="00EF66BA"/>
    <w:rPr>
      <w:sz w:val="20"/>
      <w:szCs w:val="20"/>
    </w:rPr>
  </w:style>
  <w:style w:type="paragraph" w:styleId="Onderwerpvanopmerking">
    <w:name w:val="annotation subject"/>
    <w:basedOn w:val="Tekstopmerking"/>
    <w:next w:val="Tekstopmerking"/>
    <w:link w:val="OnderwerpvanopmerkingChar"/>
    <w:uiPriority w:val="99"/>
    <w:semiHidden/>
    <w:unhideWhenUsed/>
    <w:rsid w:val="00EF66BA"/>
    <w:rPr>
      <w:b/>
      <w:bCs/>
    </w:rPr>
  </w:style>
  <w:style w:type="character" w:customStyle="1" w:styleId="OnderwerpvanopmerkingChar">
    <w:name w:val="Onderwerp van opmerking Char"/>
    <w:basedOn w:val="TekstopmerkingChar"/>
    <w:link w:val="Onderwerpvanopmerking"/>
    <w:uiPriority w:val="99"/>
    <w:semiHidden/>
    <w:rsid w:val="00EF66BA"/>
    <w:rPr>
      <w:b/>
      <w:bCs/>
      <w:sz w:val="20"/>
      <w:szCs w:val="20"/>
    </w:rPr>
  </w:style>
  <w:style w:type="paragraph" w:styleId="Lijstalinea">
    <w:name w:val="List Paragraph"/>
    <w:basedOn w:val="Standaard"/>
    <w:uiPriority w:val="34"/>
    <w:qFormat/>
    <w:rsid w:val="00333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1107</Words>
  <Characters>6089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 Joosten</dc:creator>
  <cp:keywords/>
  <dc:description/>
  <cp:lastModifiedBy>Lies van Aelst</cp:lastModifiedBy>
  <cp:revision>3</cp:revision>
  <dcterms:created xsi:type="dcterms:W3CDTF">2023-10-03T14:04:00Z</dcterms:created>
  <dcterms:modified xsi:type="dcterms:W3CDTF">2023-10-03T14:14:00Z</dcterms:modified>
</cp:coreProperties>
</file>